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42"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Kiper Christopher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12121 WILSHIRE BLVD, SUITE 1240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90025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2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10/03/2024</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942"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7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10/03/2024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1,311,312</w:t>
            </w:r>
            <w:r>
              <w:rPr>
                <w:rFonts w:ascii="Times New Roman" w:cs="Times New Roman" w:eastAsia="Times New Roman" w:hAnsi="Times New Roman"/>
                <w:sz w:val="22"/>
                <w:szCs w:val="22"/>
                <w:color w:val="008000"/>
                <w:vertAlign w:val="superscript"/>
              </w:rPr>
              <w:t>(2)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w:t>
            </w:r>
          </w:p>
        </w:tc>
        <w:tc>
          <w:tcPr>
            <w:tcW w:w="114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color w:val="0000FF"/>
              </w:rPr>
              <w:t>4,084,268</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Legion</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4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 I</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70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10/03/2024</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960" w:type="dxa"/>
            <w:vAlign w:val="bottom"/>
            <w:vMerge w:val="restart"/>
          </w:tcPr>
          <w:p>
            <w:pPr>
              <w:jc w:val="center"/>
              <w:ind w:right="49"/>
              <w:spacing w:after="0"/>
              <w:rPr>
                <w:sz w:val="20"/>
                <w:szCs w:val="20"/>
                <w:color w:val="auto"/>
              </w:rPr>
            </w:pPr>
            <w:r>
              <w:rPr>
                <w:rFonts w:ascii="Times New Roman" w:cs="Times New Roman" w:eastAsia="Times New Roman" w:hAnsi="Times New Roman"/>
                <w:sz w:val="17"/>
                <w:szCs w:val="17"/>
                <w:color w:val="0000FF"/>
              </w:rPr>
              <w:t>152,102</w:t>
            </w:r>
            <w:r>
              <w:rPr>
                <w:rFonts w:ascii="Times New Roman" w:cs="Times New Roman" w:eastAsia="Times New Roman" w:hAnsi="Times New Roman"/>
                <w:sz w:val="22"/>
                <w:szCs w:val="22"/>
                <w:color w:val="008000"/>
                <w:vertAlign w:val="superscript"/>
              </w:rPr>
              <w:t>(2)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vMerge w:val="restart"/>
          </w:tcPr>
          <w:p>
            <w:pPr>
              <w:jc w:val="right"/>
              <w:ind w:right="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w:t>
            </w:r>
          </w:p>
        </w:tc>
        <w:tc>
          <w:tcPr>
            <w:tcW w:w="11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0000FF"/>
              </w:rPr>
              <w:t>319,286</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Legion</w:t>
            </w:r>
          </w:p>
        </w:tc>
        <w:tc>
          <w:tcPr>
            <w:tcW w:w="0" w:type="dxa"/>
            <w:vAlign w:val="bottom"/>
          </w:tcPr>
          <w:p>
            <w:pPr>
              <w:spacing w:after="0"/>
              <w:rPr>
                <w:sz w:val="1"/>
                <w:szCs w:val="1"/>
                <w:color w:val="auto"/>
              </w:rPr>
            </w:pPr>
          </w:p>
        </w:tc>
      </w:tr>
      <w:tr>
        <w:trPr>
          <w:trHeight w:val="174"/>
        </w:trPr>
        <w:tc>
          <w:tcPr>
            <w:tcW w:w="24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52"/>
        </w:trPr>
        <w:tc>
          <w:tcPr>
            <w:tcW w:w="24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L.P. II</w:t>
      </w:r>
      <w:r>
        <w:rPr>
          <w:rFonts w:ascii="Times New Roman" w:cs="Times New Roman" w:eastAsia="Times New Roman" w:hAnsi="Times New Roman"/>
          <w:sz w:val="22"/>
          <w:szCs w:val="22"/>
          <w:color w:val="008000"/>
          <w:vertAlign w:val="superscript"/>
        </w:rPr>
        <w:t>(7)</w:t>
      </w:r>
    </w:p>
    <w:p>
      <w:pPr>
        <w:spacing w:after="0" w:line="80"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Legion</w:t>
      </w:r>
    </w:p>
    <w:p>
      <w:pPr>
        <w:ind w:left="80"/>
        <w:spacing w:after="0"/>
        <w:tabs>
          <w:tab w:leader="none" w:pos="8500" w:val="left"/>
          <w:tab w:leader="none" w:pos="9640" w:val="left"/>
          <w:tab w:leader="none" w:pos="10200" w:val="left"/>
        </w:tabs>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r>
        <w:rPr>
          <w:sz w:val="20"/>
          <w:szCs w:val="20"/>
          <w:color w:val="auto"/>
        </w:rPr>
        <w:tab/>
      </w:r>
      <w:r>
        <w:rPr>
          <w:rFonts w:ascii="Times New Roman" w:cs="Times New Roman" w:eastAsia="Times New Roman" w:hAnsi="Times New Roman"/>
          <w:sz w:val="17"/>
          <w:szCs w:val="17"/>
          <w:color w:val="0000FF"/>
        </w:rPr>
        <w:t>200</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Partners</w:t>
      </w:r>
    </w:p>
    <w:p>
      <w:pPr>
        <w:spacing w:after="0" w:line="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Holdings,</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bl>
      <w:tblPr>
        <w:tblLayout w:type="fixed"/>
        <w:tblInd w:w="0" w:type="dxa"/>
        <w:tblCellMar>
          <w:top w:w="0" w:type="dxa"/>
          <w:left w:w="0" w:type="dxa"/>
          <w:bottom w:w="0" w:type="dxa"/>
          <w:right w:w="0" w:type="dxa"/>
        </w:tblCellMar>
      </w:tblPr>
      <w:tr>
        <w:trPr>
          <w:trHeight w:val="40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280"/>
              <w:spacing w:after="0" w:line="361" w:lineRule="exact"/>
              <w:rPr>
                <w:sz w:val="20"/>
                <w:szCs w:val="20"/>
                <w:color w:val="auto"/>
              </w:rPr>
            </w:pPr>
            <w:r>
              <w:rPr>
                <w:rFonts w:ascii="Times New Roman" w:cs="Times New Roman" w:eastAsia="Times New Roman" w:hAnsi="Times New Roman"/>
                <w:sz w:val="34"/>
                <w:szCs w:val="34"/>
                <w:color w:val="0000FF"/>
                <w:vertAlign w:val="subscript"/>
              </w:rPr>
              <w:t>58,069</w:t>
            </w:r>
            <w:r>
              <w:rPr>
                <w:rFonts w:ascii="Times New Roman" w:cs="Times New Roman" w:eastAsia="Times New Roman" w:hAnsi="Times New Roman"/>
                <w:sz w:val="11"/>
                <w:szCs w:val="11"/>
                <w:color w:val="008000"/>
              </w:rPr>
              <w:t>(3)(4)(5)</w:t>
            </w:r>
          </w:p>
        </w:tc>
        <w:tc>
          <w:tcPr>
            <w:tcW w:w="900" w:type="dxa"/>
            <w:vAlign w:val="bottom"/>
            <w:tcBorders>
              <w:bottom w:val="single" w:sz="8" w:color="2C2C2C"/>
            </w:tcBorders>
          </w:tcPr>
          <w:p>
            <w:pPr>
              <w:ind w:left="40"/>
              <w:spacing w:after="0" w:line="361"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(3)(4)(5)</w:t>
            </w:r>
          </w:p>
        </w:tc>
        <w:tc>
          <w:tcPr>
            <w:tcW w:w="68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560" w:type="dxa"/>
            <w:vAlign w:val="bottom"/>
            <w:tcBorders>
              <w:top w:val="single" w:sz="8" w:color="2C2C2C"/>
            </w:tcBorders>
            <w:gridSpan w:val="13"/>
          </w:tcPr>
          <w:p>
            <w:pPr>
              <w:ind w:left="5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Kiper Christopher S</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12121 WILSHIRE BLVD, SUITE 1240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90025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4"/>
          <w:szCs w:val="24"/>
          <w:color w:val="auto"/>
        </w:rPr>
      </w:pPr>
    </w:p>
    <w:p>
      <w:pPr>
        <w:spacing w:after="0"/>
        <w:rPr>
          <w:sz w:val="20"/>
          <w:szCs w:val="20"/>
          <w:color w:val="auto"/>
        </w:rPr>
      </w:pPr>
      <w:r>
        <w:rPr>
          <w:sz w:val="1"/>
          <w:szCs w:val="1"/>
          <w:color w:val="auto"/>
        </w:rPr>
        <w:drawing>
          <wp:inline distT="0" distB="0" distL="0" distR="0">
            <wp:extent cx="33655" cy="2241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22415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42" w:orient="portrait"/>
          <w:cols w:equalWidth="0" w:num="1">
            <w:col w:w="11080"/>
          </w:cols>
          <w:pgMar w:left="460" w:top="219" w:right="359" w:bottom="0" w:gutter="0" w:footer="0" w:header="0"/>
          <w:type w:val="continuous"/>
        </w:sectPr>
      </w:pPr>
    </w:p>
    <w:bookmarkStart w:id="1" w:name="page2"/>
    <w:bookmarkEnd w:id="1"/>
    <w:p>
      <w:pPr>
        <w:spacing w:after="0" w:line="18"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Legion Partners Asset Management,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140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1014095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12121 WILSHIRE BLVD., SUITE 1240</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Legion Partners, L.P. I</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7"/>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Legion Partners, L.P. II</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7"/>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Legion Partners,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12121 WILSHIRE BLVD., SUITE 1240</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7"/>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Legion Partners Holdings,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12121 WILSHIRE BLVD., SUITE 1240</w:t>
            </w: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7"/>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White Raymond T.</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12121 WILSHIRE BLVD.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SUITE 1240</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4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90025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Legion Partners, L.P. I ("Legion Partners I"), Legion Partners, L.P. II ("Legion Partners II"), Legion Partners, LLC ("General Partner"), Legion Partners Asset Management, LLC ("Legion Partners Asset Management"), Legion Partners Holdings, LLC ("Legion Partners Holdings"), Christopher S. Kiper and Raymond White (collectively, the "Reporting</w:t>
      </w:r>
    </w:p>
    <w:p>
      <w:pPr>
        <w:sectPr>
          <w:pgSz w:w="11900" w:h="16856" w:orient="portrait"/>
          <w:cols w:equalWidth="0" w:num="1">
            <w:col w:w="10380"/>
          </w:cols>
          <w:pgMar w:left="480" w:top="111" w:right="1039" w:bottom="0" w:gutter="0" w:footer="0" w:header="0"/>
        </w:sectPr>
      </w:pPr>
    </w:p>
    <w:bookmarkStart w:id="2" w:name="page3"/>
    <w:bookmarkEnd w:id="2"/>
    <w:p>
      <w:pPr>
        <w:ind w:right="140"/>
        <w:spacing w:after="0" w:line="253" w:lineRule="auto"/>
        <w:rPr>
          <w:sz w:val="20"/>
          <w:szCs w:val="20"/>
          <w:color w:val="auto"/>
        </w:rPr>
      </w:pPr>
      <w:r>
        <w:rPr>
          <w:rFonts w:ascii="Times New Roman" w:cs="Times New Roman" w:eastAsia="Times New Roman" w:hAnsi="Times New Roman"/>
          <w:sz w:val="13"/>
          <w:szCs w:val="13"/>
          <w:color w:val="008000"/>
        </w:rPr>
        <w:t>Persons"). Each of the Reporting Persons may be deemed to be a member of a Section 13(d) group that owns more than 10% of Lifecore Biomedical, Inc.'s (the "Issuer")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0" w:lineRule="exact"/>
        <w:rPr>
          <w:sz w:val="20"/>
          <w:szCs w:val="20"/>
          <w:color w:val="auto"/>
        </w:rPr>
      </w:pPr>
    </w:p>
    <w:p>
      <w:pPr>
        <w:ind w:right="1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 securities purchase agreement between the Issuer, Legion Partners I, Legion Partners II and certain other unaffiliated investors (collectively, the "Purchasers"), the Issuer agreed to issue and sell to the Purchasers shares of Common Stock at a price of $4.10 per share.</w:t>
      </w:r>
    </w:p>
    <w:p>
      <w:pPr>
        <w:spacing w:after="0" w:line="7"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of the Issuer ("RSUs") granted to Mr. Kiper, a member of the Issuer's Board of Directors (the "Board") in respect of his service on the Board. Mr. Kiper holds these RSUs for the benefit of Legion Partners Asset Management. Each RSU represents a contingent right to receive one share of Common Stock, subject to the applicable vesting schedule and conditions. As of the date hereof, 28,069 RSUs have vested.</w:t>
      </w:r>
    </w:p>
    <w:p>
      <w:pPr>
        <w:spacing w:after="0" w:line="20" w:lineRule="exact"/>
        <w:rPr>
          <w:rFonts w:ascii="Times New Roman" w:cs="Times New Roman" w:eastAsia="Times New Roman" w:hAnsi="Times New Roman"/>
          <w:sz w:val="13"/>
          <w:szCs w:val="13"/>
          <w:color w:val="008000"/>
        </w:rPr>
      </w:pPr>
    </w:p>
    <w:p>
      <w:pPr>
        <w:jc w:val="both"/>
        <w:ind w:right="10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Kiper serves on the Board as a representative of Legion Partners Asset Management and its affiliates. Mr. Kiper does not have a right to any economic interest in securities of the Issuer granted to him by the Issuer in respect of his Board position, except to the extent of his role as a Managing Director of Legion Partners Asset Management. Legion Partners Asset Management is entitled to receive all of the economic interest in securities granted to Mr. Kiper by the Issuer in respect of Mr. Kiper's Board position. Mr. Kiper disclaims beneficial ownership of the Issuer's securities to which this report relates and at no time has Mr. Kiper had any economic interest in such securities except any indirect economic interest through Legion Partners Asset Management and its affiliates, entities in which Mr. Kiper has a controlling interest and investment control.</w:t>
      </w:r>
    </w:p>
    <w:p>
      <w:pPr>
        <w:spacing w:after="0" w:line="26"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held by Mr. Kiper as described in footnotes (3) and (4) are securities in which Legion Partners Asset Management has all of the direct economic interest. Legion Partners Holdings is the sole member of Legion Partners Asset Management and each of Messrs. Kiper and White are Managing Directors of Legion Partners Asset Management. As a result of these relationships, Legion Partners Holdings and Messrs. Kiper and White may be deemed to beneficially own the securities owned directly by Legion Partners Asset Management.</w:t>
      </w:r>
    </w:p>
    <w:p>
      <w:pPr>
        <w:spacing w:after="0" w:line="20" w:lineRule="exact"/>
        <w:rPr>
          <w:rFonts w:ascii="Times New Roman" w:cs="Times New Roman" w:eastAsia="Times New Roman" w:hAnsi="Times New Roman"/>
          <w:sz w:val="13"/>
          <w:szCs w:val="13"/>
          <w:color w:val="008000"/>
        </w:rPr>
      </w:pPr>
    </w:p>
    <w:p>
      <w:pPr>
        <w:jc w:val="both"/>
        <w:ind w:right="20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w:t>
      </w:r>
    </w:p>
    <w:p>
      <w:pPr>
        <w:spacing w:after="0" w:line="24" w:lineRule="exact"/>
        <w:rPr>
          <w:rFonts w:ascii="Times New Roman" w:cs="Times New Roman" w:eastAsia="Times New Roman" w:hAnsi="Times New Roman"/>
          <w:sz w:val="13"/>
          <w:szCs w:val="13"/>
          <w:color w:val="008000"/>
        </w:rPr>
      </w:pPr>
    </w:p>
    <w:p>
      <w:pPr>
        <w:ind w:right="8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II.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beneficially own the securities owned directly by Legion Partners II.</w:t>
      </w:r>
    </w:p>
    <w:p>
      <w:pPr>
        <w:spacing w:after="0" w:line="24"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Legion Partners Holdings. As managing members of Legion Partners Holdings, Messrs. Kiper and White may be deemed to beneficially own the securities owned directly by Legion Partners Holdings.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3"/>
          <w:szCs w:val="13"/>
          <w:color w:val="008000"/>
        </w:rPr>
        <w:t>Christopher S. Kiper, a Managing Director of Legion Partners Asset Management, is a director of the Issuer. For purposes of Section 16 of the Securities Exchange Act of 1934, as amended, each of the Reporting Persons (other than Mr. Kiper) may be deemed a director by deputization by virtue of Mr. Kiper's representation on the Board of the Issuer.</w:t>
      </w:r>
    </w:p>
    <w:p>
      <w:pPr>
        <w:sectPr>
          <w:pgSz w:w="11900" w:h="16838" w:orient="portrait"/>
          <w:cols w:equalWidth="0" w:num="1">
            <w:col w:w="10880"/>
          </w:cols>
          <w:pgMar w:left="500" w:top="127" w:right="51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44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6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L.P. 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3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66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L.P. II,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0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66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936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7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/s/ Christopher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Kiper,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74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Legion Partners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576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Christopher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Kiper,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7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500" w:space="240"/>
            <w:col w:w="2140"/>
          </w:cols>
          <w:pgMar w:left="500" w:top="127" w:right="51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Raymond White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13" Type="http://schemas.openxmlformats.org/officeDocument/2006/relationships/hyperlink" Target="http://www.sec.gov/cgi-bin/browse-edgar?action=getcompany&amp;CIK=0001432744" TargetMode="External"/><Relationship Id="rId14" Type="http://schemas.openxmlformats.org/officeDocument/2006/relationships/hyperlink" Target="http://www.sec.gov/cgi-bin/browse-edgar?action=getcompany&amp;CIK=0001005286" TargetMode="External"/><Relationship Id="rId17" Type="http://schemas.openxmlformats.org/officeDocument/2006/relationships/hyperlink" Target="http://www.sec.gov/cgi-bin/browse-edgar?action=getcompany&amp;CIK=0001560207" TargetMode="External"/><Relationship Id="rId19" Type="http://schemas.openxmlformats.org/officeDocument/2006/relationships/hyperlink" Target="http://www.sec.gov/cgi-bin/browse-edgar?action=getcompany&amp;CIK=0001595909" TargetMode="External"/><Relationship Id="rId20" Type="http://schemas.openxmlformats.org/officeDocument/2006/relationships/hyperlink" Target="http://www.sec.gov/cgi-bin/browse-edgar?action=getcompany&amp;CIK=0001618783" TargetMode="External"/><Relationship Id="rId21" Type="http://schemas.openxmlformats.org/officeDocument/2006/relationships/hyperlink" Target="http://www.sec.gov/cgi-bin/browse-edgar?action=getcompany&amp;CIK=0001682390" TargetMode="External"/><Relationship Id="rId22" Type="http://schemas.openxmlformats.org/officeDocument/2006/relationships/hyperlink" Target="http://www.sec.gov/cgi-bin/browse-edgar?action=getcompany&amp;CIK=0001682389" TargetMode="External"/><Relationship Id="rId23" Type="http://schemas.openxmlformats.org/officeDocument/2006/relationships/hyperlink" Target="http://www.sec.gov/cgi-bin/browse-edgar?action=getcompany&amp;CIK=0001682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2024-10-07T16:08:25Z</dcterms:created>
  <dcterms:modified xsi:type="dcterms:W3CDTF">2024-10-07T16:08:25Z</dcterms:modified>
</cp:coreProperties>
</file>