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61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6161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Calloway Nathaniel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060" w:type="dxa"/>
            <w:vAlign w:val="bottom"/>
          </w:tcPr>
          <w:p>
            <w:pPr>
              <w:ind w:left="26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C/O LIFECORE BIOMEDICAL, INC.</w:t>
            </w:r>
          </w:p>
        </w:tc>
      </w:tr>
      <w:tr>
        <w:trPr>
          <w:trHeight w:val="270"/>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3515 LYMAN BLVD</w:t>
            </w:r>
          </w:p>
        </w:tc>
        <w:tc>
          <w:tcPr>
            <w:tcW w:w="16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CHASKA</w:t>
            </w:r>
          </w:p>
        </w:tc>
        <w:tc>
          <w:tcPr>
            <w:tcW w:w="1060" w:type="dxa"/>
            <w:vAlign w:val="bottom"/>
          </w:tcPr>
          <w:p>
            <w:pPr>
              <w:ind w:left="260"/>
              <w:spacing w:after="0"/>
              <w:rPr>
                <w:sz w:val="20"/>
                <w:szCs w:val="20"/>
                <w:color w:val="auto"/>
              </w:rPr>
            </w:pPr>
            <w:r>
              <w:rPr>
                <w:rFonts w:ascii="Arial" w:cs="Arial" w:eastAsia="Arial" w:hAnsi="Arial"/>
                <w:sz w:val="18"/>
                <w:szCs w:val="18"/>
                <w:color w:val="0000FF"/>
              </w:rPr>
              <w:t>MN</w:t>
            </w:r>
          </w:p>
        </w:tc>
        <w:tc>
          <w:tcPr>
            <w:tcW w:w="1600" w:type="dxa"/>
            <w:vAlign w:val="bottom"/>
          </w:tcPr>
          <w:p>
            <w:pPr>
              <w:ind w:left="420"/>
              <w:spacing w:after="0"/>
              <w:rPr>
                <w:sz w:val="20"/>
                <w:szCs w:val="20"/>
                <w:color w:val="auto"/>
              </w:rPr>
            </w:pPr>
            <w:r>
              <w:rPr>
                <w:rFonts w:ascii="Arial" w:cs="Arial" w:eastAsia="Arial" w:hAnsi="Arial"/>
                <w:sz w:val="18"/>
                <w:szCs w:val="18"/>
                <w:color w:val="0000FF"/>
              </w:rPr>
              <w:t>55318</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LIFECORE BIOMEDICAL, INC. \DE\ </w:t>
              </w:r>
            </w:hyperlink>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440" w:type="dxa"/>
            <w:vAlign w:val="bottom"/>
            <w:tcBorders>
              <w:bottom w:val="single" w:sz="8" w:color="0000EE"/>
            </w:tcBorders>
            <w:gridSpan w:val="2"/>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60" w:type="dxa"/>
            <w:vAlign w:val="bottom"/>
            <w:gridSpan w:val="3"/>
          </w:tcPr>
          <w:p>
            <w:pPr>
              <w:spacing w:after="0" w:line="226" w:lineRule="exact"/>
              <w:rPr>
                <w:sz w:val="20"/>
                <w:szCs w:val="20"/>
                <w:color w:val="auto"/>
              </w:rPr>
            </w:pPr>
            <w:r>
              <w:rPr>
                <w:rFonts w:ascii="Arial" w:cs="Arial" w:eastAsia="Arial" w:hAnsi="Arial"/>
                <w:sz w:val="18"/>
                <w:szCs w:val="18"/>
                <w:color w:val="0000FF"/>
              </w:rPr>
              <w:t xml:space="preserve">LFCR </w:t>
            </w:r>
            <w:r>
              <w:rPr>
                <w:rFonts w:ascii="Arial" w:cs="Arial" w:eastAsia="Arial" w:hAnsi="Arial"/>
                <w:sz w:val="21"/>
                <w:szCs w:val="21"/>
                <w:color w:val="000000"/>
              </w:rPr>
              <w:t>]</w:t>
            </w:r>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3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380"/>
              <w:spacing w:after="0" w:line="149" w:lineRule="exact"/>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4"/>
                <w:szCs w:val="14"/>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52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20"/>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Pr>
          <w:p>
            <w:pPr>
              <w:ind w:left="220"/>
              <w:spacing w:after="0"/>
              <w:rPr>
                <w:sz w:val="20"/>
                <w:szCs w:val="20"/>
                <w:color w:val="auto"/>
              </w:rPr>
            </w:pPr>
            <w:r>
              <w:rPr>
                <w:rFonts w:ascii="Arial" w:cs="Arial" w:eastAsia="Arial" w:hAnsi="Arial"/>
                <w:sz w:val="18"/>
                <w:szCs w:val="18"/>
                <w:color w:val="0000FF"/>
                <w:w w:val="90"/>
              </w:rPr>
              <w:t>18,182</w:t>
            </w:r>
          </w:p>
        </w:tc>
        <w:tc>
          <w:tcPr>
            <w:tcW w:w="660" w:type="dxa"/>
            <w:vAlign w:val="bottom"/>
          </w:tcPr>
          <w:p>
            <w:pPr>
              <w:ind w:left="300"/>
              <w:spacing w:after="0"/>
              <w:rPr>
                <w:sz w:val="20"/>
                <w:szCs w:val="20"/>
                <w:color w:val="auto"/>
              </w:rPr>
            </w:pPr>
            <w:r>
              <w:rPr>
                <w:rFonts w:ascii="Arial" w:cs="Arial" w:eastAsia="Arial" w:hAnsi="Arial"/>
                <w:sz w:val="18"/>
                <w:szCs w:val="18"/>
                <w:color w:val="0000FF"/>
              </w:rPr>
              <w:t>A</w:t>
            </w:r>
          </w:p>
        </w:tc>
        <w:tc>
          <w:tcPr>
            <w:tcW w:w="540" w:type="dxa"/>
            <w:vAlign w:val="bottom"/>
            <w:gridSpan w:val="3"/>
          </w:tcPr>
          <w:p>
            <w:pPr>
              <w:jc w:val="right"/>
              <w:ind w:right="99"/>
              <w:spacing w:after="0"/>
              <w:rPr>
                <w:sz w:val="20"/>
                <w:szCs w:val="20"/>
                <w:color w:val="auto"/>
              </w:rPr>
            </w:pPr>
            <w:r>
              <w:rPr>
                <w:rFonts w:ascii="Arial" w:cs="Arial" w:eastAsia="Arial" w:hAnsi="Arial"/>
                <w:sz w:val="11"/>
                <w:szCs w:val="11"/>
                <w:color w:val="008000"/>
              </w:rPr>
              <w:t>(1)(2)</w:t>
            </w: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18,182</w:t>
            </w:r>
          </w:p>
        </w:tc>
        <w:tc>
          <w:tcPr>
            <w:tcW w:w="920" w:type="dxa"/>
            <w:vAlign w:val="bottom"/>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convert into common stock of Lifecore Biomedical, Inc. on a 1 for 1 basis.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Stock Units will vest and be settled on the earlier of the 1st anniversary of the grant date or the date of the 2024 Annual Meeting of Stockholders (provided such date is no less than 50 weeks from Grant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Rebecca Hilt, Attorney-In- </w:t>
      </w:r>
      <w:r>
        <w:rPr>
          <w:rFonts w:ascii="Arial" w:cs="Arial" w:eastAsia="Arial" w:hAnsi="Arial"/>
          <w:sz w:val="35"/>
          <w:szCs w:val="35"/>
          <w:color w:val="0000FF"/>
          <w:vertAlign w:val="subscript"/>
        </w:rPr>
        <w:t>06/05/2023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65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Fact for Nathaniel Calloway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1267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746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52771" TargetMode="External"/><Relationship Id="rId13" Type="http://schemas.openxmlformats.org/officeDocument/2006/relationships/hyperlink" Target="http://www.sec.gov/cgi-bin/browse-edgar?action=getcompany&amp;CIK=0001005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2023-06-05T14:28:06Z</dcterms:created>
  <dcterms:modified xsi:type="dcterms:W3CDTF">2023-06-05T14:28:06Z</dcterms:modified>
</cp:coreProperties>
</file>