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40"/>
        <w:spacing w:after="0"/>
        <w:tabs>
          <w:tab w:leader="none" w:pos="1640" w:val="left"/>
          <w:tab w:leader="none" w:pos="2680" w:val="left"/>
          <w:tab w:leader="none" w:pos="5080" w:val="left"/>
        </w:tabs>
        <w:rPr>
          <w:sz w:val="20"/>
          <w:szCs w:val="20"/>
          <w:color w:val="auto"/>
        </w:rPr>
      </w:pPr>
      <w:r>
        <w:rPr>
          <w:rFonts w:ascii="Courier New" w:cs="Courier New" w:eastAsia="Courier New" w:hAnsi="Courier New"/>
          <w:sz w:val="17"/>
          <w:szCs w:val="17"/>
          <w:color w:val="auto"/>
        </w:rPr>
        <w:t>This</w:t>
        <w:tab/>
        <w:t>document</w:t>
        <w:tab/>
        <w:t>consists of 17 pages,</w:t>
        <w:tab/>
        <w:t>of which this is page Number 1.</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7"/>
          <w:szCs w:val="17"/>
          <w:color w:val="auto"/>
        </w:rPr>
        <w:t>The index to Exhibits is on Page 15.</w:t>
      </w: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7"/>
          <w:szCs w:val="17"/>
          <w:color w:val="auto"/>
        </w:rPr>
        <w:t>UNITED STATES</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Washington, D.C. 20549</w:t>
      </w:r>
    </w:p>
    <w:p>
      <w:pPr>
        <w:spacing w:after="0" w:line="207" w:lineRule="exact"/>
        <w:rPr>
          <w:sz w:val="24"/>
          <w:szCs w:val="24"/>
          <w:color w:val="auto"/>
        </w:rPr>
      </w:pPr>
    </w:p>
    <w:p>
      <w:pPr>
        <w:ind w:left="3740"/>
        <w:spacing w:after="0"/>
        <w:rPr>
          <w:sz w:val="20"/>
          <w:szCs w:val="20"/>
          <w:color w:val="auto"/>
        </w:rPr>
      </w:pPr>
      <w:r>
        <w:rPr>
          <w:rFonts w:ascii="Courier New" w:cs="Courier New" w:eastAsia="Courier New" w:hAnsi="Courier New"/>
          <w:sz w:val="17"/>
          <w:szCs w:val="17"/>
          <w:color w:val="auto"/>
        </w:rPr>
        <w:t>FORM 10-Q</w:t>
      </w:r>
    </w:p>
    <w:p>
      <w:pPr>
        <w:spacing w:after="0" w:line="207" w:lineRule="exact"/>
        <w:rPr>
          <w:sz w:val="24"/>
          <w:szCs w:val="24"/>
          <w:color w:val="auto"/>
        </w:rPr>
      </w:pPr>
    </w:p>
    <w:p>
      <w:pPr>
        <w:ind w:left="740" w:right="1899" w:hanging="733"/>
        <w:spacing w:after="0" w:line="251" w:lineRule="auto"/>
        <w:tabs>
          <w:tab w:leader="none" w:pos="7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 EXCHANGE ACT OF 1934</w:t>
      </w:r>
    </w:p>
    <w:p>
      <w:pPr>
        <w:spacing w:after="0" w:line="197" w:lineRule="exact"/>
        <w:rPr>
          <w:sz w:val="24"/>
          <w:szCs w:val="24"/>
          <w:color w:val="auto"/>
        </w:rPr>
      </w:pPr>
    </w:p>
    <w:p>
      <w:pPr>
        <w:ind w:left="1660"/>
        <w:spacing w:after="0"/>
        <w:rPr>
          <w:sz w:val="20"/>
          <w:szCs w:val="20"/>
          <w:color w:val="auto"/>
        </w:rPr>
      </w:pPr>
      <w:r>
        <w:rPr>
          <w:rFonts w:ascii="Courier New" w:cs="Courier New" w:eastAsia="Courier New" w:hAnsi="Courier New"/>
          <w:sz w:val="17"/>
          <w:szCs w:val="17"/>
          <w:color w:val="auto"/>
        </w:rPr>
        <w:t>For the Fiscal Quarter Ended January 31, 1997, or</w:t>
      </w:r>
    </w:p>
    <w:p>
      <w:pPr>
        <w:spacing w:after="0" w:line="207" w:lineRule="exact"/>
        <w:rPr>
          <w:sz w:val="24"/>
          <w:szCs w:val="24"/>
          <w:color w:val="auto"/>
        </w:rPr>
      </w:pPr>
    </w:p>
    <w:p>
      <w:pPr>
        <w:ind w:left="740" w:right="1899" w:hanging="733"/>
        <w:spacing w:after="0" w:line="251" w:lineRule="auto"/>
        <w:tabs>
          <w:tab w:leader="none" w:pos="221"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]TRANSITION REPORT PURSUANT TO SECTION 13 OR 15(d) OF THE SECURITIES EXCHANGE ACT OF 1934</w:t>
      </w:r>
    </w:p>
    <w:p>
      <w:pPr>
        <w:spacing w:after="0" w:line="197" w:lineRule="exact"/>
        <w:rPr>
          <w:sz w:val="24"/>
          <w:szCs w:val="24"/>
          <w:color w:val="auto"/>
        </w:rPr>
      </w:pPr>
    </w:p>
    <w:p>
      <w:pPr>
        <w:ind w:left="1560"/>
        <w:spacing w:after="0"/>
        <w:rPr>
          <w:sz w:val="20"/>
          <w:szCs w:val="20"/>
          <w:color w:val="auto"/>
        </w:rPr>
      </w:pPr>
      <w:r>
        <w:rPr>
          <w:rFonts w:ascii="Courier New" w:cs="Courier New" w:eastAsia="Courier New" w:hAnsi="Courier New"/>
          <w:sz w:val="17"/>
          <w:szCs w:val="17"/>
          <w:color w:val="auto"/>
        </w:rPr>
        <w:t>For the Transition period from _____ to _________.</w:t>
      </w:r>
    </w:p>
    <w:p>
      <w:pPr>
        <w:spacing w:after="0" w:line="207"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Commission file number: 0-27446</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LANDEC CORPORATION</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448" w:right="1440" w:bottom="0" w:gutter="0" w:footer="0" w:header="0"/>
        </w:sectPr>
      </w:pPr>
    </w:p>
    <w:p>
      <w:pPr>
        <w:spacing w:after="0" w:line="207" w:lineRule="exact"/>
        <w:rPr>
          <w:sz w:val="24"/>
          <w:szCs w:val="24"/>
          <w:color w:val="auto"/>
        </w:rPr>
      </w:pPr>
    </w:p>
    <w:p>
      <w:pPr>
        <w:ind w:left="1660"/>
        <w:spacing w:after="0"/>
        <w:rPr>
          <w:sz w:val="20"/>
          <w:szCs w:val="20"/>
          <w:color w:val="auto"/>
        </w:rPr>
      </w:pPr>
      <w:r>
        <w:rPr>
          <w:rFonts w:ascii="Courier New" w:cs="Courier New" w:eastAsia="Courier New" w:hAnsi="Courier New"/>
          <w:sz w:val="17"/>
          <w:szCs w:val="17"/>
          <w:color w:val="auto"/>
        </w:rPr>
        <w:t>California</w:t>
      </w:r>
    </w:p>
    <w:p>
      <w:pPr>
        <w:spacing w:after="0" w:line="7"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(State or other jurisdiction of</w:t>
      </w:r>
    </w:p>
    <w:p>
      <w:pPr>
        <w:spacing w:after="0" w:line="7"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94-3025618</w:t>
      </w:r>
    </w:p>
    <w:p>
      <w:pPr>
        <w:spacing w:after="0" w:line="7"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Number)</w:t>
      </w:r>
    </w:p>
    <w:p>
      <w:pPr>
        <w:spacing w:after="0" w:line="200" w:lineRule="exact"/>
        <w:rPr>
          <w:sz w:val="24"/>
          <w:szCs w:val="24"/>
          <w:color w:val="auto"/>
        </w:rPr>
      </w:pPr>
    </w:p>
    <w:p>
      <w:pPr>
        <w:sectPr>
          <w:pgSz w:w="11900" w:h="16838" w:orient="portrait"/>
          <w:cols w:equalWidth="0" w:num="2">
            <w:col w:w="4800" w:space="720"/>
            <w:col w:w="4699"/>
          </w:cols>
          <w:pgMar w:left="240" w:top="448" w:right="1440" w:bottom="0" w:gutter="0" w:footer="0" w:header="0"/>
          <w:type w:val="continuous"/>
        </w:sectPr>
      </w:pPr>
    </w:p>
    <w:p>
      <w:pPr>
        <w:spacing w:after="0" w:line="7"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3603 Haven Avenue</w:t>
      </w:r>
    </w:p>
    <w:p>
      <w:pPr>
        <w:spacing w:after="0" w:line="7" w:lineRule="exact"/>
        <w:rPr>
          <w:sz w:val="24"/>
          <w:szCs w:val="24"/>
          <w:color w:val="auto"/>
        </w:rPr>
      </w:pPr>
    </w:p>
    <w:p>
      <w:pPr>
        <w:ind w:left="2700"/>
        <w:spacing w:after="0"/>
        <w:rPr>
          <w:sz w:val="20"/>
          <w:szCs w:val="20"/>
          <w:color w:val="auto"/>
        </w:rPr>
      </w:pPr>
      <w:r>
        <w:rPr>
          <w:rFonts w:ascii="Courier New" w:cs="Courier New" w:eastAsia="Courier New" w:hAnsi="Courier New"/>
          <w:sz w:val="17"/>
          <w:szCs w:val="17"/>
          <w:color w:val="auto"/>
        </w:rPr>
        <w:t>Menlo Park, California 94025</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7"/>
          <w:szCs w:val="17"/>
          <w:color w:val="auto"/>
        </w:rPr>
        <w:t>(Address of principal executive offices)</w:t>
      </w:r>
    </w:p>
    <w:p>
      <w:pPr>
        <w:sectPr>
          <w:pgSz w:w="11900" w:h="16838" w:orient="portrait"/>
          <w:cols w:equalWidth="0" w:num="1">
            <w:col w:w="10219"/>
          </w:cols>
          <w:pgMar w:left="240" w:top="448" w:right="1440" w:bottom="0" w:gutter="0" w:footer="0" w:header="0"/>
          <w:type w:val="continuous"/>
        </w:sectPr>
      </w:pPr>
    </w:p>
    <w:p>
      <w:pPr>
        <w:spacing w:after="0" w:line="207"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(415) 306-1650</w:t>
      </w:r>
    </w:p>
    <w:p>
      <w:pPr>
        <w:spacing w:after="0" w:line="207" w:lineRule="exact"/>
        <w:rPr>
          <w:sz w:val="24"/>
          <w:szCs w:val="24"/>
          <w:color w:val="auto"/>
        </w:rPr>
      </w:pPr>
    </w:p>
    <w:p>
      <w:pPr>
        <w:jc w:val="both"/>
        <w:ind w:left="520" w:right="1899"/>
        <w:spacing w:after="0" w:line="249"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w:t>
      </w:r>
    </w:p>
    <w:p>
      <w:pPr>
        <w:sectPr>
          <w:pgSz w:w="11900" w:h="16838" w:orient="portrait"/>
          <w:cols w:equalWidth="0" w:num="1">
            <w:col w:w="10219"/>
          </w:cols>
          <w:pgMar w:left="240" w:top="448" w:right="1440" w:bottom="0" w:gutter="0" w:footer="0" w:header="0"/>
          <w:type w:val="continuous"/>
        </w:sectPr>
      </w:pPr>
    </w:p>
    <w:p>
      <w:pPr>
        <w:spacing w:after="0" w:line="200" w:lineRule="exact"/>
        <w:rPr>
          <w:sz w:val="24"/>
          <w:szCs w:val="24"/>
          <w:color w:val="auto"/>
        </w:rPr>
      </w:pPr>
    </w:p>
    <w:p>
      <w:pPr>
        <w:ind w:left="3740"/>
        <w:spacing w:after="0"/>
        <w:rPr>
          <w:sz w:val="20"/>
          <w:szCs w:val="20"/>
          <w:color w:val="auto"/>
        </w:rPr>
      </w:pPr>
      <w:r>
        <w:rPr>
          <w:rFonts w:ascii="Courier New" w:cs="Courier New" w:eastAsia="Courier New" w:hAnsi="Courier New"/>
          <w:sz w:val="17"/>
          <w:szCs w:val="17"/>
          <w:color w:val="auto"/>
        </w:rPr>
        <w:t>Yes</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18" w:lineRule="exact"/>
        <w:rPr>
          <w:sz w:val="24"/>
          <w:szCs w:val="24"/>
          <w:color w:val="auto"/>
        </w:rPr>
      </w:pPr>
    </w:p>
    <w:p>
      <w:pPr>
        <w:sectPr>
          <w:pgSz w:w="11900" w:h="16838" w:orient="portrait"/>
          <w:cols w:equalWidth="0" w:num="3">
            <w:col w:w="4060" w:space="320"/>
            <w:col w:w="100" w:space="720"/>
            <w:col w:w="5019"/>
          </w:cols>
          <w:pgMar w:left="240" w:top="448" w:right="1440" w:bottom="0" w:gutter="0" w:footer="0" w:header="0"/>
          <w:type w:val="continuous"/>
        </w:sectPr>
      </w:pPr>
    </w:p>
    <w:p>
      <w:pPr>
        <w:ind w:left="41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1" w:lineRule="exact"/>
        <w:rPr>
          <w:sz w:val="24"/>
          <w:szCs w:val="24"/>
          <w:color w:val="auto"/>
        </w:rPr>
      </w:pPr>
    </w:p>
    <w:p>
      <w:pPr>
        <w:sectPr>
          <w:pgSz w:w="11900" w:h="16838" w:orient="portrait"/>
          <w:cols w:equalWidth="0" w:num="2">
            <w:col w:w="4800" w:space="720"/>
            <w:col w:w="4699"/>
          </w:cols>
          <w:pgMar w:left="240" w:top="448" w:right="1440" w:bottom="0" w:gutter="0" w:footer="0" w:header="0"/>
          <w:type w:val="continuous"/>
        </w:sectPr>
      </w:pPr>
    </w:p>
    <w:p>
      <w:pPr>
        <w:spacing w:after="0" w:line="7" w:lineRule="exact"/>
        <w:rPr>
          <w:sz w:val="24"/>
          <w:szCs w:val="24"/>
          <w:color w:val="auto"/>
        </w:rPr>
      </w:pPr>
    </w:p>
    <w:p>
      <w:pPr>
        <w:ind w:left="520" w:right="1899"/>
        <w:spacing w:after="0" w:line="251" w:lineRule="auto"/>
        <w:rPr>
          <w:sz w:val="20"/>
          <w:szCs w:val="20"/>
          <w:color w:val="auto"/>
        </w:rPr>
      </w:pPr>
      <w:r>
        <w:rPr>
          <w:rFonts w:ascii="Courier New" w:cs="Courier New" w:eastAsia="Courier New" w:hAnsi="Courier New"/>
          <w:sz w:val="17"/>
          <w:szCs w:val="17"/>
          <w:color w:val="auto"/>
        </w:rPr>
        <w:t>As of February 5, 1997, 10,768,154 shares of the Registrant's common stock were outstanding.</w:t>
      </w:r>
    </w:p>
    <w:p>
      <w:pPr>
        <w:spacing w:after="0" w:line="197" w:lineRule="exact"/>
        <w:rPr>
          <w:sz w:val="24"/>
          <w:szCs w:val="24"/>
          <w:color w:val="auto"/>
        </w:rPr>
      </w:pPr>
    </w:p>
    <w:p>
      <w:pPr>
        <w:ind w:left="396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LANDEC CORPORATION</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FORM 10-Q For the Quarter Ended January 31, 1997</w:t>
      </w:r>
    </w:p>
    <w:p>
      <w:pPr>
        <w:spacing w:after="0" w:line="207" w:lineRule="exact"/>
        <w:rPr>
          <w:sz w:val="24"/>
          <w:szCs w:val="24"/>
          <w:color w:val="auto"/>
        </w:rPr>
      </w:pPr>
    </w:p>
    <w:p>
      <w:pPr>
        <w:ind w:left="3960"/>
        <w:spacing w:after="0"/>
        <w:rPr>
          <w:sz w:val="20"/>
          <w:szCs w:val="20"/>
          <w:color w:val="auto"/>
        </w:rPr>
      </w:pPr>
      <w:r>
        <w:rPr>
          <w:rFonts w:ascii="Courier New" w:cs="Courier New" w:eastAsia="Courier New" w:hAnsi="Courier New"/>
          <w:sz w:val="17"/>
          <w:szCs w:val="17"/>
          <w:color w:val="auto"/>
        </w:rPr>
        <w:t>INDEX</w:t>
      </w:r>
    </w:p>
    <w:p>
      <w:pPr>
        <w:spacing w:after="0" w:line="207" w:lineRule="exact"/>
        <w:rPr>
          <w:sz w:val="24"/>
          <w:szCs w:val="24"/>
          <w:color w:val="auto"/>
        </w:rPr>
      </w:pPr>
    </w:p>
    <w:p>
      <w:pPr>
        <w:ind w:left="7900"/>
        <w:spacing w:after="0"/>
        <w:rPr>
          <w:sz w:val="20"/>
          <w:szCs w:val="20"/>
          <w:color w:val="auto"/>
        </w:rPr>
      </w:pPr>
      <w:r>
        <w:rPr>
          <w:rFonts w:ascii="Courier New" w:cs="Courier New" w:eastAsia="Courier New" w:hAnsi="Courier New"/>
          <w:sz w:val="17"/>
          <w:szCs w:val="17"/>
          <w:color w:val="auto"/>
        </w:rPr>
        <w:t>Page</w:t>
      </w:r>
    </w:p>
    <w:p>
      <w:pPr>
        <w:sectPr>
          <w:pgSz w:w="11900" w:h="16838" w:orient="portrait"/>
          <w:cols w:equalWidth="0" w:num="1">
            <w:col w:w="10219"/>
          </w:cols>
          <w:pgMar w:left="240" w:top="448" w:right="1440" w:bottom="0" w:gutter="0" w:footer="0" w:header="0"/>
          <w:type w:val="continuous"/>
        </w:sectPr>
      </w:pPr>
    </w:p>
    <w:p>
      <w:pPr>
        <w:spacing w:after="0" w:line="207" w:lineRule="exact"/>
        <w:rPr>
          <w:sz w:val="24"/>
          <w:szCs w:val="24"/>
          <w:color w:val="auto"/>
        </w:rPr>
      </w:pPr>
    </w:p>
    <w:p>
      <w:pPr>
        <w:ind w:left="1140"/>
        <w:spacing w:after="0"/>
        <w:rPr>
          <w:sz w:val="20"/>
          <w:szCs w:val="20"/>
          <w:color w:val="auto"/>
        </w:rPr>
      </w:pPr>
      <w:r>
        <w:rPr>
          <w:rFonts w:ascii="Courier New" w:cs="Courier New" w:eastAsia="Courier New" w:hAnsi="Courier New"/>
          <w:sz w:val="17"/>
          <w:szCs w:val="17"/>
          <w:color w:val="auto"/>
        </w:rPr>
        <w:t>Facing sheet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w:t>
      </w:r>
    </w:p>
    <w:p>
      <w:pPr>
        <w:spacing w:after="0" w:line="211" w:lineRule="exact"/>
        <w:rPr>
          <w:sz w:val="24"/>
          <w:szCs w:val="24"/>
          <w:color w:val="auto"/>
        </w:rPr>
      </w:pPr>
    </w:p>
    <w:p>
      <w:pPr>
        <w:sectPr>
          <w:pgSz w:w="11900" w:h="16838" w:orient="portrait"/>
          <w:cols w:equalWidth="0" w:num="2">
            <w:col w:w="7400" w:space="720"/>
            <w:col w:w="2099"/>
          </w:cols>
          <w:pgMar w:left="240" w:top="448" w:right="1440" w:bottom="0" w:gutter="0" w:footer="0" w:header="0"/>
          <w:type w:val="continuous"/>
        </w:sectPr>
      </w:pPr>
    </w:p>
    <w:p>
      <w:pPr>
        <w:spacing w:after="0" w:line="7" w:lineRule="exact"/>
        <w:rPr>
          <w:sz w:val="24"/>
          <w:szCs w:val="24"/>
          <w:color w:val="auto"/>
        </w:rPr>
      </w:pPr>
    </w:p>
    <w:p>
      <w:pPr>
        <w:ind w:left="1140"/>
        <w:spacing w:after="0"/>
        <w:rPr>
          <w:sz w:val="20"/>
          <w:szCs w:val="20"/>
          <w:color w:val="auto"/>
        </w:rPr>
      </w:pPr>
      <w:r>
        <w:rPr>
          <w:rFonts w:ascii="Courier New" w:cs="Courier New" w:eastAsia="Courier New" w:hAnsi="Courier New"/>
          <w:sz w:val="17"/>
          <w:szCs w:val="17"/>
          <w:color w:val="auto"/>
        </w:rPr>
        <w:t>Index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2</w:t>
      </w:r>
    </w:p>
    <w:p>
      <w:pPr>
        <w:spacing w:after="0" w:line="211" w:lineRule="exact"/>
        <w:rPr>
          <w:sz w:val="24"/>
          <w:szCs w:val="24"/>
          <w:color w:val="auto"/>
        </w:rPr>
      </w:pPr>
    </w:p>
    <w:p>
      <w:pPr>
        <w:sectPr>
          <w:pgSz w:w="11900" w:h="16838" w:orient="portrait"/>
          <w:cols w:equalWidth="0" w:num="2">
            <w:col w:w="7400" w:space="720"/>
            <w:col w:w="2099"/>
          </w:cols>
          <w:pgMar w:left="240" w:top="448"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Part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Financial Statements</w:t>
      </w:r>
    </w:p>
    <w:p>
      <w:pPr>
        <w:spacing w:after="0" w:line="200" w:lineRule="exact"/>
        <w:rPr>
          <w:sz w:val="24"/>
          <w:szCs w:val="24"/>
          <w:color w:val="auto"/>
        </w:rPr>
      </w:pPr>
    </w:p>
    <w:p>
      <w:pPr>
        <w:sectPr>
          <w:pgSz w:w="11900" w:h="16838" w:orient="portrait"/>
          <w:cols w:equalWidth="0" w:num="2">
            <w:col w:w="740" w:space="400"/>
            <w:col w:w="9079"/>
          </w:cols>
          <w:pgMar w:left="240" w:top="448"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Item 1.</w:t>
      </w:r>
    </w:p>
    <w:p>
      <w:pPr>
        <w:spacing w:after="0" w:line="20" w:lineRule="exact"/>
        <w:rPr>
          <w:sz w:val="24"/>
          <w:szCs w:val="24"/>
          <w:color w:val="auto"/>
        </w:rPr>
      </w:pPr>
      <w:r>
        <w:rPr>
          <w:sz w:val="24"/>
          <w:szCs w:val="24"/>
          <w:color w:val="auto"/>
        </w:rPr>
        <w:br w:type="column"/>
      </w:r>
    </w:p>
    <w:p>
      <w:pPr>
        <w:spacing w:after="0"/>
        <w:tabs>
          <w:tab w:leader="none" w:pos="400" w:val="left"/>
          <w:tab w:leader="none" w:pos="1860" w:val="left"/>
        </w:tabs>
        <w:rPr>
          <w:sz w:val="20"/>
          <w:szCs w:val="20"/>
          <w:color w:val="auto"/>
        </w:rPr>
      </w:pPr>
      <w:r>
        <w:rPr>
          <w:rFonts w:ascii="Courier New" w:cs="Courier New" w:eastAsia="Courier New" w:hAnsi="Courier New"/>
          <w:sz w:val="17"/>
          <w:szCs w:val="17"/>
          <w:color w:val="auto"/>
        </w:rPr>
        <w:t>a)</w:t>
        <w:tab/>
        <w:t>Consolidated</w:t>
        <w:tab/>
        <w:t>condensed</w:t>
      </w:r>
    </w:p>
    <w:p>
      <w:pPr>
        <w:spacing w:after="0" w:line="7"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1997 and October 31, 1996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balance sheets as of January 31,</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w:t>
      </w:r>
    </w:p>
    <w:p>
      <w:pPr>
        <w:spacing w:after="0" w:line="211" w:lineRule="exact"/>
        <w:rPr>
          <w:sz w:val="24"/>
          <w:szCs w:val="24"/>
          <w:color w:val="auto"/>
        </w:rPr>
      </w:pPr>
    </w:p>
    <w:p>
      <w:pPr>
        <w:sectPr>
          <w:pgSz w:w="11900" w:h="16838" w:orient="portrait"/>
          <w:cols w:equalWidth="0" w:num="4">
            <w:col w:w="740" w:space="400"/>
            <w:col w:w="3020" w:space="0"/>
            <w:col w:w="3320" w:space="640"/>
            <w:col w:w="2099"/>
          </w:cols>
          <w:pgMar w:left="240" w:top="448" w:right="1440" w:bottom="0" w:gutter="0" w:footer="0" w:header="0"/>
          <w:type w:val="continuous"/>
        </w:sectPr>
      </w:pPr>
    </w:p>
    <w:p>
      <w:pPr>
        <w:spacing w:after="0" w:line="7" w:lineRule="exact"/>
        <w:rPr>
          <w:sz w:val="24"/>
          <w:szCs w:val="24"/>
          <w:color w:val="auto"/>
        </w:rPr>
      </w:pPr>
    </w:p>
    <w:p>
      <w:pPr>
        <w:ind w:left="1560" w:hanging="411"/>
        <w:spacing w:after="0"/>
        <w:tabs>
          <w:tab w:leader="none" w:pos="15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Consolidated  statements  of  operations  for  the  three</w:t>
      </w:r>
    </w:p>
    <w:p>
      <w:pPr>
        <w:spacing w:after="0" w:line="7" w:lineRule="exact"/>
        <w:rPr>
          <w:sz w:val="24"/>
          <w:szCs w:val="24"/>
          <w:color w:val="auto"/>
        </w:rPr>
      </w:pPr>
    </w:p>
    <w:tbl>
      <w:tblPr>
        <w:tblLayout w:type="fixed"/>
        <w:tblInd w:w="1560" w:type="dxa"/>
        <w:tblCellMar>
          <w:top w:w="0" w:type="dxa"/>
          <w:left w:w="0" w:type="dxa"/>
          <w:bottom w:w="0" w:type="dxa"/>
          <w:right w:w="0" w:type="dxa"/>
        </w:tblCellMar>
      </w:tblPr>
      <w:tr>
        <w:trPr>
          <w:trHeight w:val="194"/>
        </w:trPr>
        <w:tc>
          <w:tcPr>
            <w:tcW w:w="5360" w:type="dxa"/>
            <w:vAlign w:val="bottom"/>
          </w:tcPr>
          <w:p>
            <w:pPr>
              <w:spacing w:after="0"/>
              <w:rPr>
                <w:sz w:val="20"/>
                <w:szCs w:val="20"/>
                <w:color w:val="auto"/>
              </w:rPr>
            </w:pPr>
            <w:r>
              <w:rPr>
                <w:rFonts w:ascii="Courier New" w:cs="Courier New" w:eastAsia="Courier New" w:hAnsi="Courier New"/>
                <w:sz w:val="17"/>
                <w:szCs w:val="17"/>
                <w:color w:val="auto"/>
              </w:rPr>
              <w:t>months ended January 31, 1997 and 4 1996</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bl>
    <w:p>
      <w:pPr>
        <w:spacing w:after="0" w:line="205" w:lineRule="exact"/>
        <w:rPr>
          <w:sz w:val="24"/>
          <w:szCs w:val="24"/>
          <w:color w:val="auto"/>
        </w:rPr>
      </w:pPr>
    </w:p>
    <w:p>
      <w:pPr>
        <w:ind w:left="1560" w:hanging="411"/>
        <w:spacing w:after="0"/>
        <w:tabs>
          <w:tab w:leader="none" w:pos="15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Consolidated  statements  of cash  flows  for  the  three</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940" w:type="dxa"/>
            <w:vAlign w:val="bottom"/>
          </w:tcPr>
          <w:p>
            <w:pPr>
              <w:spacing w:after="0"/>
              <w:rPr>
                <w:sz w:val="16"/>
                <w:szCs w:val="16"/>
                <w:color w:val="auto"/>
              </w:rPr>
            </w:pPr>
          </w:p>
        </w:tc>
        <w:tc>
          <w:tcPr>
            <w:tcW w:w="3120" w:type="dxa"/>
            <w:vAlign w:val="bottom"/>
            <w:gridSpan w:val="3"/>
          </w:tcPr>
          <w:p>
            <w:pPr>
              <w:ind w:left="620"/>
              <w:spacing w:after="0"/>
              <w:rPr>
                <w:sz w:val="20"/>
                <w:szCs w:val="20"/>
                <w:color w:val="auto"/>
              </w:rPr>
            </w:pPr>
            <w:r>
              <w:rPr>
                <w:rFonts w:ascii="Courier New" w:cs="Courier New" w:eastAsia="Courier New" w:hAnsi="Courier New"/>
                <w:sz w:val="17"/>
                <w:szCs w:val="17"/>
                <w:color w:val="auto"/>
              </w:rPr>
              <w:t>months ended January 31,</w:t>
            </w:r>
          </w:p>
        </w:tc>
        <w:tc>
          <w:tcPr>
            <w:tcW w:w="560" w:type="dxa"/>
            <w:vAlign w:val="bottom"/>
          </w:tcPr>
          <w:p>
            <w:pPr>
              <w:ind w:left="100"/>
              <w:spacing w:after="0"/>
              <w:rPr>
                <w:sz w:val="20"/>
                <w:szCs w:val="20"/>
                <w:color w:val="auto"/>
              </w:rPr>
            </w:pPr>
            <w:r>
              <w:rPr>
                <w:rFonts w:ascii="Courier New" w:cs="Courier New" w:eastAsia="Courier New" w:hAnsi="Courier New"/>
                <w:sz w:val="17"/>
                <w:szCs w:val="17"/>
                <w:color w:val="auto"/>
              </w:rPr>
              <w:t>1997</w:t>
            </w:r>
          </w:p>
        </w:tc>
        <w:tc>
          <w:tcPr>
            <w:tcW w:w="2980" w:type="dxa"/>
            <w:vAlign w:val="bottom"/>
          </w:tcPr>
          <w:p>
            <w:pPr>
              <w:ind w:left="60"/>
              <w:spacing w:after="0"/>
              <w:rPr>
                <w:sz w:val="20"/>
                <w:szCs w:val="20"/>
                <w:color w:val="auto"/>
              </w:rPr>
            </w:pPr>
            <w:r>
              <w:rPr>
                <w:rFonts w:ascii="Courier New" w:cs="Courier New" w:eastAsia="Courier New" w:hAnsi="Courier New"/>
                <w:sz w:val="17"/>
                <w:szCs w:val="17"/>
                <w:color w:val="auto"/>
              </w:rPr>
              <w:t>and 5 1996</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400"/>
        </w:trPr>
        <w:tc>
          <w:tcPr>
            <w:tcW w:w="940" w:type="dxa"/>
            <w:vAlign w:val="bottom"/>
          </w:tcPr>
          <w:p>
            <w:pPr>
              <w:spacing w:after="0"/>
              <w:rPr>
                <w:sz w:val="24"/>
                <w:szCs w:val="24"/>
                <w:color w:val="auto"/>
              </w:rPr>
            </w:pP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d)  Notes</w:t>
            </w:r>
          </w:p>
        </w:tc>
        <w:tc>
          <w:tcPr>
            <w:tcW w:w="460" w:type="dxa"/>
            <w:vAlign w:val="bottom"/>
          </w:tcPr>
          <w:p>
            <w:pPr>
              <w:ind w:left="160"/>
              <w:spacing w:after="0"/>
              <w:rPr>
                <w:sz w:val="20"/>
                <w:szCs w:val="20"/>
                <w:color w:val="auto"/>
              </w:rPr>
            </w:pPr>
            <w:r>
              <w:rPr>
                <w:rFonts w:ascii="Courier New" w:cs="Courier New" w:eastAsia="Courier New" w:hAnsi="Courier New"/>
                <w:sz w:val="17"/>
                <w:szCs w:val="17"/>
                <w:color w:val="auto"/>
              </w:rPr>
              <w:t>to</w:t>
            </w:r>
          </w:p>
        </w:tc>
        <w:tc>
          <w:tcPr>
            <w:tcW w:w="1460" w:type="dxa"/>
            <w:vAlign w:val="bottom"/>
          </w:tcPr>
          <w:p>
            <w:pPr>
              <w:ind w:left="100"/>
              <w:spacing w:after="0"/>
              <w:rPr>
                <w:sz w:val="20"/>
                <w:szCs w:val="20"/>
                <w:color w:val="auto"/>
              </w:rPr>
            </w:pPr>
            <w:r>
              <w:rPr>
                <w:rFonts w:ascii="Courier New" w:cs="Courier New" w:eastAsia="Courier New" w:hAnsi="Courier New"/>
                <w:sz w:val="17"/>
                <w:szCs w:val="17"/>
                <w:color w:val="auto"/>
              </w:rPr>
              <w:t>consolidated</w:t>
            </w:r>
          </w:p>
        </w:tc>
        <w:tc>
          <w:tcPr>
            <w:tcW w:w="35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financial  statements</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400"/>
        </w:trPr>
        <w:tc>
          <w:tcPr>
            <w:tcW w:w="940" w:type="dxa"/>
            <w:vAlign w:val="bottom"/>
          </w:tcPr>
          <w:p>
            <w:pPr>
              <w:spacing w:after="0"/>
              <w:rPr>
                <w:sz w:val="20"/>
                <w:szCs w:val="20"/>
                <w:color w:val="auto"/>
              </w:rPr>
            </w:pPr>
            <w:r>
              <w:rPr>
                <w:rFonts w:ascii="Courier New" w:cs="Courier New" w:eastAsia="Courier New" w:hAnsi="Courier New"/>
                <w:sz w:val="17"/>
                <w:szCs w:val="17"/>
                <w:color w:val="auto"/>
              </w:rPr>
              <w:t>Item 2.</w:t>
            </w:r>
          </w:p>
        </w:tc>
        <w:tc>
          <w:tcPr>
            <w:tcW w:w="16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Management's</w:t>
            </w:r>
          </w:p>
        </w:tc>
        <w:tc>
          <w:tcPr>
            <w:tcW w:w="1460" w:type="dxa"/>
            <w:vAlign w:val="bottom"/>
          </w:tcPr>
          <w:p>
            <w:pPr>
              <w:ind w:left="100"/>
              <w:spacing w:after="0"/>
              <w:rPr>
                <w:sz w:val="20"/>
                <w:szCs w:val="20"/>
                <w:color w:val="auto"/>
              </w:rPr>
            </w:pPr>
            <w:r>
              <w:rPr>
                <w:rFonts w:ascii="Courier New" w:cs="Courier New" w:eastAsia="Courier New" w:hAnsi="Courier New"/>
                <w:sz w:val="17"/>
                <w:szCs w:val="17"/>
                <w:color w:val="auto"/>
              </w:rPr>
              <w:t>Discussion</w:t>
            </w:r>
          </w:p>
        </w:tc>
        <w:tc>
          <w:tcPr>
            <w:tcW w:w="560" w:type="dxa"/>
            <w:vAlign w:val="bottom"/>
          </w:tcPr>
          <w:p>
            <w:pPr>
              <w:spacing w:after="0"/>
              <w:rPr>
                <w:sz w:val="20"/>
                <w:szCs w:val="20"/>
                <w:color w:val="auto"/>
              </w:rPr>
            </w:pPr>
            <w:r>
              <w:rPr>
                <w:rFonts w:ascii="Courier New" w:cs="Courier New" w:eastAsia="Courier New" w:hAnsi="Courier New"/>
                <w:sz w:val="17"/>
                <w:szCs w:val="17"/>
                <w:color w:val="auto"/>
              </w:rPr>
              <w:t>and</w:t>
            </w:r>
          </w:p>
        </w:tc>
        <w:tc>
          <w:tcPr>
            <w:tcW w:w="2980" w:type="dxa"/>
            <w:vAlign w:val="bottom"/>
          </w:tcPr>
          <w:p>
            <w:pPr>
              <w:ind w:left="60"/>
              <w:spacing w:after="0"/>
              <w:rPr>
                <w:sz w:val="20"/>
                <w:szCs w:val="20"/>
                <w:color w:val="auto"/>
              </w:rPr>
            </w:pPr>
            <w:r>
              <w:rPr>
                <w:rFonts w:ascii="Courier New" w:cs="Courier New" w:eastAsia="Courier New" w:hAnsi="Courier New"/>
                <w:sz w:val="17"/>
                <w:szCs w:val="17"/>
                <w:color w:val="auto"/>
              </w:rPr>
              <w:t>Analysis  of  Financial</w:t>
            </w:r>
          </w:p>
        </w:tc>
        <w:tc>
          <w:tcPr>
            <w:tcW w:w="620" w:type="dxa"/>
            <w:vAlign w:val="bottom"/>
          </w:tcPr>
          <w:p>
            <w:pPr>
              <w:spacing w:after="0"/>
              <w:rPr>
                <w:sz w:val="24"/>
                <w:szCs w:val="24"/>
                <w:color w:val="auto"/>
              </w:rPr>
            </w:pPr>
          </w:p>
        </w:tc>
      </w:tr>
      <w:tr>
        <w:trPr>
          <w:trHeight w:val="200"/>
        </w:trPr>
        <w:tc>
          <w:tcPr>
            <w:tcW w:w="940" w:type="dxa"/>
            <w:vAlign w:val="bottom"/>
          </w:tcPr>
          <w:p>
            <w:pPr>
              <w:spacing w:after="0"/>
              <w:rPr>
                <w:sz w:val="17"/>
                <w:szCs w:val="17"/>
                <w:color w:val="auto"/>
              </w:rPr>
            </w:pP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Condition</w:t>
            </w:r>
          </w:p>
        </w:tc>
        <w:tc>
          <w:tcPr>
            <w:tcW w:w="546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and Results of Operations</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bl>
    <w:p>
      <w:pPr>
        <w:sectPr>
          <w:pgSz w:w="11900" w:h="16838" w:orient="portrait"/>
          <w:cols w:equalWidth="0" w:num="1">
            <w:col w:w="10219"/>
          </w:cols>
          <w:pgMar w:left="240" w:top="448"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00" w:type="dxa"/>
            <w:vAlign w:val="bottom"/>
          </w:tcPr>
          <w:p>
            <w:pPr>
              <w:spacing w:after="0"/>
              <w:rPr>
                <w:sz w:val="20"/>
                <w:szCs w:val="20"/>
                <w:color w:val="auto"/>
              </w:rPr>
            </w:pPr>
            <w:r>
              <w:rPr>
                <w:rFonts w:ascii="Courier New" w:cs="Courier New" w:eastAsia="Courier New" w:hAnsi="Courier New"/>
                <w:sz w:val="17"/>
                <w:szCs w:val="17"/>
                <w:color w:val="auto"/>
              </w:rPr>
              <w:t>Part II.</w:t>
            </w:r>
          </w:p>
        </w:tc>
        <w:tc>
          <w:tcPr>
            <w:tcW w:w="720" w:type="dxa"/>
            <w:vAlign w:val="bottom"/>
          </w:tcPr>
          <w:p>
            <w:pPr>
              <w:ind w:left="140"/>
              <w:spacing w:after="0"/>
              <w:rPr>
                <w:sz w:val="20"/>
                <w:szCs w:val="20"/>
                <w:color w:val="auto"/>
              </w:rPr>
            </w:pPr>
            <w:r>
              <w:rPr>
                <w:rFonts w:ascii="Courier New" w:cs="Courier New" w:eastAsia="Courier New" w:hAnsi="Courier New"/>
                <w:sz w:val="17"/>
                <w:szCs w:val="17"/>
                <w:color w:val="auto"/>
              </w:rPr>
              <w:t>Other</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Information</w:t>
            </w:r>
          </w:p>
        </w:tc>
        <w:tc>
          <w:tcPr>
            <w:tcW w:w="478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r>
        <w:trPr>
          <w:trHeight w:val="400"/>
        </w:trPr>
        <w:tc>
          <w:tcPr>
            <w:tcW w:w="1000" w:type="dxa"/>
            <w:vAlign w:val="bottom"/>
          </w:tcPr>
          <w:p>
            <w:pPr>
              <w:spacing w:after="0"/>
              <w:rPr>
                <w:sz w:val="24"/>
                <w:szCs w:val="24"/>
                <w:color w:val="auto"/>
              </w:rPr>
            </w:pPr>
          </w:p>
        </w:tc>
        <w:tc>
          <w:tcPr>
            <w:tcW w:w="24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Signature</w:t>
            </w:r>
          </w:p>
        </w:tc>
        <w:tc>
          <w:tcPr>
            <w:tcW w:w="478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400"/>
        </w:trPr>
        <w:tc>
          <w:tcPr>
            <w:tcW w:w="1000" w:type="dxa"/>
            <w:vAlign w:val="bottom"/>
          </w:tcPr>
          <w:p>
            <w:pPr>
              <w:spacing w:after="0"/>
              <w:rPr>
                <w:sz w:val="24"/>
                <w:szCs w:val="24"/>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7"/>
                <w:szCs w:val="17"/>
                <w:color w:val="auto"/>
              </w:rPr>
              <w:t>Index</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to Exhibits</w:t>
            </w:r>
          </w:p>
        </w:tc>
        <w:tc>
          <w:tcPr>
            <w:tcW w:w="478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400"/>
        </w:trPr>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780" w:type="dxa"/>
            <w:vAlign w:val="bottom"/>
          </w:tcPr>
          <w:p>
            <w:pPr>
              <w:jc w:val="right"/>
              <w:ind w:right="3873"/>
              <w:spacing w:after="0"/>
              <w:rPr>
                <w:sz w:val="20"/>
                <w:szCs w:val="20"/>
                <w:color w:val="auto"/>
              </w:rPr>
            </w:pPr>
            <w:r>
              <w:rPr>
                <w:rFonts w:ascii="Courier New" w:cs="Courier New" w:eastAsia="Courier New" w:hAnsi="Courier New"/>
                <w:sz w:val="17"/>
                <w:szCs w:val="17"/>
                <w:color w:val="auto"/>
              </w:rPr>
              <w:t>-2-</w:t>
            </w:r>
          </w:p>
        </w:tc>
      </w:tr>
    </w:tbl>
    <w:p>
      <w:pPr>
        <w:sectPr>
          <w:pgSz w:w="11900" w:h="16838" w:orient="portrait"/>
          <w:cols w:equalWidth="0" w:num="1">
            <w:col w:w="10219"/>
          </w:cols>
          <w:pgMar w:left="240" w:top="342" w:right="1440" w:bottom="1440" w:gutter="0" w:footer="0" w:header="0"/>
        </w:sectPr>
      </w:pPr>
    </w:p>
    <w:bookmarkStart w:id="2" w:name="page3"/>
    <w:bookmarkEnd w:id="2"/>
    <w:p>
      <w:pPr>
        <w:ind w:left="2700"/>
        <w:spacing w:after="0"/>
        <w:rPr>
          <w:sz w:val="20"/>
          <w:szCs w:val="20"/>
          <w:color w:val="auto"/>
        </w:rPr>
      </w:pPr>
      <w:r>
        <w:rPr>
          <w:rFonts w:ascii="Courier New" w:cs="Courier New" w:eastAsia="Courier New" w:hAnsi="Courier New"/>
          <w:sz w:val="17"/>
          <w:szCs w:val="17"/>
          <w:color w:val="auto"/>
        </w:rPr>
        <w:t>PART I. FINANCIAL INFORMATION</w:t>
      </w:r>
    </w:p>
    <w:p>
      <w:pPr>
        <w:spacing w:after="0" w:line="200" w:lineRule="exact"/>
        <w:rPr>
          <w:sz w:val="20"/>
          <w:szCs w:val="20"/>
          <w:color w:val="auto"/>
        </w:rPr>
      </w:pP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1.</w:t>
        <w:tab/>
        <w:t>Financial Statements</w:t>
      </w:r>
    </w:p>
    <w:p>
      <w:pPr>
        <w:spacing w:after="0" w:line="20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LANDEC CORPORATION</w:t>
      </w:r>
    </w:p>
    <w:p>
      <w:pPr>
        <w:spacing w:after="0" w:line="7"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color w:val="auto"/>
        </w:rPr>
        <w:t>CONSOLIDATED CONDENSED BALANCE SHEETS</w:t>
      </w:r>
    </w:p>
    <w:p>
      <w:pPr>
        <w:spacing w:after="0" w:line="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(Unaudited)</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00" w:type="dxa"/>
            <w:vAlign w:val="bottom"/>
          </w:tcPr>
          <w:p>
            <w:pPr>
              <w:spacing w:after="0"/>
              <w:rPr>
                <w:sz w:val="16"/>
                <w:szCs w:val="16"/>
                <w:color w:val="auto"/>
              </w:rPr>
            </w:pP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January 31,</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October 31,</w:t>
            </w:r>
          </w:p>
        </w:tc>
      </w:tr>
      <w:tr>
        <w:trPr>
          <w:trHeight w:val="200"/>
        </w:trPr>
        <w:tc>
          <w:tcPr>
            <w:tcW w:w="5300" w:type="dxa"/>
            <w:vAlign w:val="bottom"/>
          </w:tcPr>
          <w:p>
            <w:pPr>
              <w:spacing w:after="0"/>
              <w:rPr>
                <w:sz w:val="17"/>
                <w:szCs w:val="17"/>
                <w:color w:val="auto"/>
              </w:rPr>
            </w:pPr>
          </w:p>
        </w:tc>
        <w:tc>
          <w:tcPr>
            <w:tcW w:w="16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1997</w:t>
            </w:r>
          </w:p>
        </w:tc>
        <w:tc>
          <w:tcPr>
            <w:tcW w:w="14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1996</w:t>
            </w:r>
          </w:p>
        </w:tc>
      </w:tr>
      <w:tr>
        <w:trPr>
          <w:trHeight w:val="200"/>
        </w:trPr>
        <w:tc>
          <w:tcPr>
            <w:tcW w:w="5300" w:type="dxa"/>
            <w:vAlign w:val="bottom"/>
          </w:tcPr>
          <w:p>
            <w:pPr>
              <w:spacing w:after="0"/>
              <w:rPr>
                <w:sz w:val="17"/>
                <w:szCs w:val="17"/>
                <w:color w:val="auto"/>
              </w:rPr>
            </w:pP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300" w:type="dxa"/>
            <w:vAlign w:val="bottom"/>
          </w:tcPr>
          <w:p>
            <w:pPr>
              <w:ind w:left="3440"/>
              <w:spacing w:after="0"/>
              <w:rPr>
                <w:sz w:val="20"/>
                <w:szCs w:val="20"/>
                <w:color w:val="auto"/>
              </w:rPr>
            </w:pPr>
            <w:r>
              <w:rPr>
                <w:rFonts w:ascii="Courier New" w:cs="Courier New" w:eastAsia="Courier New" w:hAnsi="Courier New"/>
                <w:sz w:val="17"/>
                <w:szCs w:val="17"/>
                <w:color w:val="auto"/>
              </w:rPr>
              <w:t>Assets</w:t>
            </w:r>
          </w:p>
        </w:tc>
        <w:tc>
          <w:tcPr>
            <w:tcW w:w="16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00"/>
        </w:trPr>
        <w:tc>
          <w:tcPr>
            <w:tcW w:w="530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0"/>
        </w:trPr>
        <w:tc>
          <w:tcPr>
            <w:tcW w:w="5300" w:type="dxa"/>
            <w:vAlign w:val="bottom"/>
          </w:tcPr>
          <w:p>
            <w:pPr>
              <w:ind w:left="520"/>
              <w:spacing w:after="0"/>
              <w:rPr>
                <w:sz w:val="20"/>
                <w:szCs w:val="20"/>
                <w:color w:val="auto"/>
              </w:rPr>
            </w:pPr>
            <w:r>
              <w:rPr>
                <w:rFonts w:ascii="Courier New" w:cs="Courier New" w:eastAsia="Courier New" w:hAnsi="Courier New"/>
                <w:sz w:val="17"/>
                <w:szCs w:val="17"/>
                <w:color w:val="auto"/>
              </w:rPr>
              <w:t>Cash and cash equivalents</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$10,370</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$14,185</w:t>
            </w:r>
          </w:p>
        </w:tc>
      </w:tr>
      <w:tr>
        <w:trPr>
          <w:trHeight w:val="200"/>
        </w:trPr>
        <w:tc>
          <w:tcPr>
            <w:tcW w:w="5300" w:type="dxa"/>
            <w:vAlign w:val="bottom"/>
          </w:tcPr>
          <w:p>
            <w:pPr>
              <w:ind w:left="520"/>
              <w:spacing w:after="0"/>
              <w:rPr>
                <w:sz w:val="20"/>
                <w:szCs w:val="20"/>
                <w:color w:val="auto"/>
              </w:rPr>
            </w:pPr>
            <w:r>
              <w:rPr>
                <w:rFonts w:ascii="Courier New" w:cs="Courier New" w:eastAsia="Courier New" w:hAnsi="Courier New"/>
                <w:sz w:val="17"/>
                <w:szCs w:val="17"/>
                <w:color w:val="auto"/>
              </w:rPr>
              <w:t>Short-term investments</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24,429</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22,325</w:t>
            </w:r>
          </w:p>
        </w:tc>
      </w:tr>
      <w:tr>
        <w:trPr>
          <w:trHeight w:val="200"/>
        </w:trPr>
        <w:tc>
          <w:tcPr>
            <w:tcW w:w="5300" w:type="dxa"/>
            <w:vAlign w:val="bottom"/>
          </w:tcPr>
          <w:p>
            <w:pPr>
              <w:ind w:left="520"/>
              <w:spacing w:after="0"/>
              <w:rPr>
                <w:sz w:val="20"/>
                <w:szCs w:val="20"/>
                <w:color w:val="auto"/>
              </w:rPr>
            </w:pPr>
            <w:r>
              <w:rPr>
                <w:rFonts w:ascii="Courier New" w:cs="Courier New" w:eastAsia="Courier New" w:hAnsi="Courier New"/>
                <w:sz w:val="17"/>
                <w:szCs w:val="17"/>
                <w:color w:val="auto"/>
              </w:rPr>
              <w:t>Accounts receivable, net</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102</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w:t>
            </w:r>
          </w:p>
        </w:tc>
      </w:tr>
      <w:tr>
        <w:trPr>
          <w:trHeight w:val="200"/>
        </w:trPr>
        <w:tc>
          <w:tcPr>
            <w:tcW w:w="5300" w:type="dxa"/>
            <w:vAlign w:val="bottom"/>
          </w:tcPr>
          <w:p>
            <w:pPr>
              <w:ind w:left="520"/>
              <w:spacing w:after="0"/>
              <w:rPr>
                <w:sz w:val="20"/>
                <w:szCs w:val="20"/>
                <w:color w:val="auto"/>
              </w:rPr>
            </w:pPr>
            <w:r>
              <w:rPr>
                <w:rFonts w:ascii="Courier New" w:cs="Courier New" w:eastAsia="Courier New" w:hAnsi="Courier New"/>
                <w:sz w:val="17"/>
                <w:szCs w:val="17"/>
                <w:color w:val="auto"/>
              </w:rPr>
              <w:t>Inventories</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478</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549</w:t>
            </w:r>
          </w:p>
        </w:tc>
      </w:tr>
      <w:tr>
        <w:trPr>
          <w:trHeight w:val="200"/>
        </w:trPr>
        <w:tc>
          <w:tcPr>
            <w:tcW w:w="5300" w:type="dxa"/>
            <w:vAlign w:val="bottom"/>
          </w:tcPr>
          <w:p>
            <w:pPr>
              <w:ind w:left="520"/>
              <w:spacing w:after="0"/>
              <w:rPr>
                <w:sz w:val="20"/>
                <w:szCs w:val="20"/>
                <w:color w:val="auto"/>
              </w:rPr>
            </w:pPr>
            <w:r>
              <w:rPr>
                <w:rFonts w:ascii="Courier New" w:cs="Courier New" w:eastAsia="Courier New" w:hAnsi="Courier New"/>
                <w:sz w:val="17"/>
                <w:szCs w:val="17"/>
                <w:color w:val="auto"/>
              </w:rPr>
              <w:t>Prepaid expenses and other current assets</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215</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188</w:t>
            </w:r>
          </w:p>
        </w:tc>
      </w:tr>
      <w:tr>
        <w:trPr>
          <w:trHeight w:val="200"/>
        </w:trPr>
        <w:tc>
          <w:tcPr>
            <w:tcW w:w="5300" w:type="dxa"/>
            <w:vAlign w:val="bottom"/>
          </w:tcPr>
          <w:p>
            <w:pPr>
              <w:spacing w:after="0"/>
              <w:rPr>
                <w:sz w:val="17"/>
                <w:szCs w:val="17"/>
                <w:color w:val="auto"/>
              </w:rPr>
            </w:pP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300" w:type="dxa"/>
            <w:vAlign w:val="bottom"/>
          </w:tcPr>
          <w:p>
            <w:pPr>
              <w:spacing w:after="0"/>
              <w:rPr>
                <w:sz w:val="20"/>
                <w:szCs w:val="20"/>
                <w:color w:val="auto"/>
              </w:rPr>
            </w:pPr>
            <w:r>
              <w:rPr>
                <w:rFonts w:ascii="Courier New" w:cs="Courier New" w:eastAsia="Courier New" w:hAnsi="Courier New"/>
                <w:sz w:val="17"/>
                <w:szCs w:val="17"/>
                <w:color w:val="auto"/>
              </w:rPr>
              <w:t>Total Current Assets</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35,594</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37,270</w:t>
            </w:r>
          </w:p>
        </w:tc>
      </w:tr>
      <w:tr>
        <w:trPr>
          <w:trHeight w:val="400"/>
        </w:trPr>
        <w:tc>
          <w:tcPr>
            <w:tcW w:w="5300" w:type="dxa"/>
            <w:vAlign w:val="bottom"/>
          </w:tcPr>
          <w:p>
            <w:pPr>
              <w:spacing w:after="0"/>
              <w:rPr>
                <w:sz w:val="20"/>
                <w:szCs w:val="20"/>
                <w:color w:val="auto"/>
              </w:rPr>
            </w:pPr>
            <w:r>
              <w:rPr>
                <w:rFonts w:ascii="Courier New" w:cs="Courier New" w:eastAsia="Courier New" w:hAnsi="Courier New"/>
                <w:sz w:val="17"/>
                <w:szCs w:val="17"/>
                <w:color w:val="auto"/>
              </w:rPr>
              <w:t>Property and equipment, net</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1,255</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963</w:t>
            </w:r>
          </w:p>
        </w:tc>
      </w:tr>
      <w:tr>
        <w:trPr>
          <w:trHeight w:val="200"/>
        </w:trPr>
        <w:tc>
          <w:tcPr>
            <w:tcW w:w="530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125</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125</w:t>
            </w:r>
          </w:p>
        </w:tc>
      </w:tr>
      <w:tr>
        <w:trPr>
          <w:trHeight w:val="200"/>
        </w:trPr>
        <w:tc>
          <w:tcPr>
            <w:tcW w:w="5300" w:type="dxa"/>
            <w:vAlign w:val="bottom"/>
          </w:tcPr>
          <w:p>
            <w:pPr>
              <w:spacing w:after="0"/>
              <w:rPr>
                <w:sz w:val="17"/>
                <w:szCs w:val="17"/>
                <w:color w:val="auto"/>
              </w:rPr>
            </w:pP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300" w:type="dxa"/>
            <w:vAlign w:val="bottom"/>
          </w:tcPr>
          <w:p>
            <w:pPr>
              <w:spacing w:after="0"/>
              <w:rPr>
                <w:sz w:val="17"/>
                <w:szCs w:val="17"/>
                <w:color w:val="auto"/>
              </w:rPr>
            </w:pP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$36,974</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$38,358</w:t>
            </w:r>
          </w:p>
        </w:tc>
      </w:tr>
      <w:tr>
        <w:trPr>
          <w:trHeight w:val="200"/>
        </w:trPr>
        <w:tc>
          <w:tcPr>
            <w:tcW w:w="5300" w:type="dxa"/>
            <w:vAlign w:val="bottom"/>
          </w:tcPr>
          <w:p>
            <w:pPr>
              <w:spacing w:after="0"/>
              <w:rPr>
                <w:sz w:val="17"/>
                <w:szCs w:val="17"/>
                <w:color w:val="auto"/>
              </w:rPr>
            </w:pP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6920" w:type="dxa"/>
            <w:vAlign w:val="bottom"/>
            <w:gridSpan w:val="2"/>
          </w:tcPr>
          <w:p>
            <w:pPr>
              <w:jc w:val="right"/>
              <w:ind w:right="1213"/>
              <w:spacing w:after="0"/>
              <w:rPr>
                <w:sz w:val="20"/>
                <w:szCs w:val="20"/>
                <w:color w:val="auto"/>
              </w:rPr>
            </w:pPr>
            <w:r>
              <w:rPr>
                <w:rFonts w:ascii="Courier New" w:cs="Courier New" w:eastAsia="Courier New" w:hAnsi="Courier New"/>
                <w:sz w:val="17"/>
                <w:szCs w:val="17"/>
                <w:color w:val="auto"/>
              </w:rPr>
              <w:t>Liabilities and Shareholders' Equity</w:t>
            </w:r>
          </w:p>
        </w:tc>
        <w:tc>
          <w:tcPr>
            <w:tcW w:w="1400" w:type="dxa"/>
            <w:vAlign w:val="bottom"/>
          </w:tcPr>
          <w:p>
            <w:pPr>
              <w:spacing w:after="0"/>
              <w:rPr>
                <w:sz w:val="24"/>
                <w:szCs w:val="24"/>
                <w:color w:val="auto"/>
              </w:rPr>
            </w:pPr>
          </w:p>
        </w:tc>
      </w:tr>
      <w:tr>
        <w:trPr>
          <w:trHeight w:val="400"/>
        </w:trPr>
        <w:tc>
          <w:tcPr>
            <w:tcW w:w="530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0"/>
        </w:trPr>
        <w:tc>
          <w:tcPr>
            <w:tcW w:w="5300" w:type="dxa"/>
            <w:vAlign w:val="bottom"/>
          </w:tcPr>
          <w:p>
            <w:pPr>
              <w:ind w:left="520"/>
              <w:spacing w:after="0"/>
              <w:rPr>
                <w:sz w:val="20"/>
                <w:szCs w:val="20"/>
                <w:color w:val="auto"/>
              </w:rPr>
            </w:pPr>
            <w:r>
              <w:rPr>
                <w:rFonts w:ascii="Courier New" w:cs="Courier New" w:eastAsia="Courier New" w:hAnsi="Courier New"/>
                <w:sz w:val="17"/>
                <w:szCs w:val="17"/>
                <w:color w:val="auto"/>
              </w:rPr>
              <w:t>Accounts payable</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   298</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484</w:t>
            </w:r>
          </w:p>
        </w:tc>
      </w:tr>
      <w:tr>
        <w:trPr>
          <w:trHeight w:val="200"/>
        </w:trPr>
        <w:tc>
          <w:tcPr>
            <w:tcW w:w="5300" w:type="dxa"/>
            <w:vAlign w:val="bottom"/>
          </w:tcPr>
          <w:p>
            <w:pPr>
              <w:ind w:left="520"/>
              <w:spacing w:after="0"/>
              <w:rPr>
                <w:sz w:val="20"/>
                <w:szCs w:val="20"/>
                <w:color w:val="auto"/>
              </w:rPr>
            </w:pPr>
            <w:r>
              <w:rPr>
                <w:rFonts w:ascii="Courier New" w:cs="Courier New" w:eastAsia="Courier New" w:hAnsi="Courier New"/>
                <w:sz w:val="17"/>
                <w:szCs w:val="17"/>
                <w:color w:val="auto"/>
              </w:rPr>
              <w:t>Accrued compensation</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307</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250</w:t>
            </w:r>
          </w:p>
        </w:tc>
      </w:tr>
      <w:tr>
        <w:trPr>
          <w:trHeight w:val="200"/>
        </w:trPr>
        <w:tc>
          <w:tcPr>
            <w:tcW w:w="5300" w:type="dxa"/>
            <w:vAlign w:val="bottom"/>
          </w:tcPr>
          <w:p>
            <w:pPr>
              <w:ind w:left="520"/>
              <w:spacing w:after="0"/>
              <w:rPr>
                <w:sz w:val="20"/>
                <w:szCs w:val="20"/>
                <w:color w:val="auto"/>
              </w:rPr>
            </w:pPr>
            <w:r>
              <w:rPr>
                <w:rFonts w:ascii="Courier New" w:cs="Courier New" w:eastAsia="Courier New" w:hAnsi="Courier New"/>
                <w:sz w:val="17"/>
                <w:szCs w:val="17"/>
                <w:color w:val="auto"/>
              </w:rPr>
              <w:t>Other accrued liabilities</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202</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259</w:t>
            </w:r>
          </w:p>
        </w:tc>
      </w:tr>
      <w:tr>
        <w:trPr>
          <w:trHeight w:val="200"/>
        </w:trPr>
        <w:tc>
          <w:tcPr>
            <w:tcW w:w="5300" w:type="dxa"/>
            <w:vAlign w:val="bottom"/>
          </w:tcPr>
          <w:p>
            <w:pPr>
              <w:ind w:left="520"/>
              <w:spacing w:after="0"/>
              <w:rPr>
                <w:sz w:val="20"/>
                <w:szCs w:val="20"/>
                <w:color w:val="auto"/>
              </w:rPr>
            </w:pPr>
            <w:r>
              <w:rPr>
                <w:rFonts w:ascii="Courier New" w:cs="Courier New" w:eastAsia="Courier New" w:hAnsi="Courier New"/>
                <w:sz w:val="17"/>
                <w:szCs w:val="17"/>
                <w:color w:val="auto"/>
              </w:rPr>
              <w:t>Current portion of capital lease obligations</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237</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229</w:t>
            </w:r>
          </w:p>
        </w:tc>
      </w:tr>
      <w:tr>
        <w:trPr>
          <w:trHeight w:val="200"/>
        </w:trPr>
        <w:tc>
          <w:tcPr>
            <w:tcW w:w="5300" w:type="dxa"/>
            <w:vAlign w:val="bottom"/>
          </w:tcPr>
          <w:p>
            <w:pPr>
              <w:ind w:left="520"/>
              <w:spacing w:after="0"/>
              <w:rPr>
                <w:sz w:val="20"/>
                <w:szCs w:val="20"/>
                <w:color w:val="auto"/>
              </w:rPr>
            </w:pPr>
            <w:r>
              <w:rPr>
                <w:rFonts w:ascii="Courier New" w:cs="Courier New" w:eastAsia="Courier New" w:hAnsi="Courier New"/>
                <w:sz w:val="17"/>
                <w:szCs w:val="17"/>
                <w:color w:val="auto"/>
              </w:rPr>
              <w:t>Deferred revenue</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229</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166</w:t>
            </w:r>
          </w:p>
        </w:tc>
      </w:tr>
      <w:tr>
        <w:trPr>
          <w:trHeight w:val="200"/>
        </w:trPr>
        <w:tc>
          <w:tcPr>
            <w:tcW w:w="5300" w:type="dxa"/>
            <w:vAlign w:val="bottom"/>
          </w:tcPr>
          <w:p>
            <w:pPr>
              <w:spacing w:after="0"/>
              <w:rPr>
                <w:sz w:val="17"/>
                <w:szCs w:val="17"/>
                <w:color w:val="auto"/>
              </w:rPr>
            </w:pP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300" w:type="dxa"/>
            <w:vAlign w:val="bottom"/>
          </w:tcPr>
          <w:p>
            <w:pPr>
              <w:spacing w:after="0"/>
              <w:rPr>
                <w:sz w:val="20"/>
                <w:szCs w:val="20"/>
                <w:color w:val="auto"/>
              </w:rPr>
            </w:pPr>
            <w:r>
              <w:rPr>
                <w:rFonts w:ascii="Courier New" w:cs="Courier New" w:eastAsia="Courier New" w:hAnsi="Courier New"/>
                <w:sz w:val="17"/>
                <w:szCs w:val="17"/>
                <w:color w:val="auto"/>
              </w:rPr>
              <w:t>Total Current Liabilities</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1,273</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1,388</w:t>
            </w:r>
          </w:p>
        </w:tc>
      </w:tr>
      <w:tr>
        <w:trPr>
          <w:trHeight w:val="400"/>
        </w:trPr>
        <w:tc>
          <w:tcPr>
            <w:tcW w:w="5300" w:type="dxa"/>
            <w:vAlign w:val="bottom"/>
          </w:tcPr>
          <w:p>
            <w:pPr>
              <w:spacing w:after="0"/>
              <w:rPr>
                <w:sz w:val="20"/>
                <w:szCs w:val="20"/>
                <w:color w:val="auto"/>
              </w:rPr>
            </w:pPr>
            <w:r>
              <w:rPr>
                <w:rFonts w:ascii="Courier New" w:cs="Courier New" w:eastAsia="Courier New" w:hAnsi="Courier New"/>
                <w:sz w:val="17"/>
                <w:szCs w:val="17"/>
                <w:color w:val="auto"/>
              </w:rPr>
              <w:t>Non-current portion of capital lease obligations</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267</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330</w:t>
            </w:r>
          </w:p>
        </w:tc>
      </w:tr>
      <w:tr>
        <w:trPr>
          <w:trHeight w:val="400"/>
        </w:trPr>
        <w:tc>
          <w:tcPr>
            <w:tcW w:w="530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0"/>
        </w:trPr>
        <w:tc>
          <w:tcPr>
            <w:tcW w:w="5300" w:type="dxa"/>
            <w:vAlign w:val="bottom"/>
          </w:tcPr>
          <w:p>
            <w:pPr>
              <w:ind w:left="520"/>
              <w:spacing w:after="0"/>
              <w:rPr>
                <w:sz w:val="20"/>
                <w:szCs w:val="20"/>
                <w:color w:val="auto"/>
              </w:rPr>
            </w:pPr>
            <w:r>
              <w:rPr>
                <w:rFonts w:ascii="Courier New" w:cs="Courier New" w:eastAsia="Courier New" w:hAnsi="Courier New"/>
                <w:sz w:val="17"/>
                <w:szCs w:val="17"/>
                <w:color w:val="auto"/>
              </w:rPr>
              <w:t>Preferred stock</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300" w:type="dxa"/>
            <w:vAlign w:val="bottom"/>
          </w:tcPr>
          <w:p>
            <w:pPr>
              <w:ind w:left="520"/>
              <w:spacing w:after="0"/>
              <w:rPr>
                <w:sz w:val="20"/>
                <w:szCs w:val="20"/>
                <w:color w:val="auto"/>
              </w:rPr>
            </w:pPr>
            <w:r>
              <w:rPr>
                <w:rFonts w:ascii="Courier New" w:cs="Courier New" w:eastAsia="Courier New" w:hAnsi="Courier New"/>
                <w:sz w:val="17"/>
                <w:szCs w:val="17"/>
                <w:color w:val="auto"/>
              </w:rPr>
              <w:t>Common stock</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68,296</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68,242</w:t>
            </w:r>
          </w:p>
        </w:tc>
      </w:tr>
      <w:tr>
        <w:trPr>
          <w:trHeight w:val="200"/>
        </w:trPr>
        <w:tc>
          <w:tcPr>
            <w:tcW w:w="5300" w:type="dxa"/>
            <w:vAlign w:val="bottom"/>
          </w:tcPr>
          <w:p>
            <w:pPr>
              <w:ind w:left="520"/>
              <w:spacing w:after="0"/>
              <w:rPr>
                <w:sz w:val="20"/>
                <w:szCs w:val="20"/>
                <w:color w:val="auto"/>
              </w:rPr>
            </w:pPr>
            <w:r>
              <w:rPr>
                <w:rFonts w:ascii="Courier New" w:cs="Courier New" w:eastAsia="Courier New" w:hAnsi="Courier New"/>
                <w:sz w:val="17"/>
                <w:szCs w:val="17"/>
                <w:color w:val="auto"/>
              </w:rPr>
              <w:t>Notes receivable from shareholders</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(13)</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r>
        <w:trPr>
          <w:trHeight w:val="200"/>
        </w:trPr>
        <w:tc>
          <w:tcPr>
            <w:tcW w:w="5300" w:type="dxa"/>
            <w:vAlign w:val="bottom"/>
          </w:tcPr>
          <w:p>
            <w:pPr>
              <w:ind w:left="520"/>
              <w:spacing w:after="0"/>
              <w:rPr>
                <w:sz w:val="20"/>
                <w:szCs w:val="20"/>
                <w:color w:val="auto"/>
              </w:rPr>
            </w:pPr>
            <w:r>
              <w:rPr>
                <w:rFonts w:ascii="Courier New" w:cs="Courier New" w:eastAsia="Courier New" w:hAnsi="Courier New"/>
                <w:sz w:val="17"/>
                <w:szCs w:val="17"/>
                <w:color w:val="auto"/>
              </w:rPr>
              <w:t>Deferred compensation</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(283)</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(311)</w:t>
            </w:r>
          </w:p>
        </w:tc>
      </w:tr>
      <w:tr>
        <w:trPr>
          <w:trHeight w:val="200"/>
        </w:trPr>
        <w:tc>
          <w:tcPr>
            <w:tcW w:w="5300" w:type="dxa"/>
            <w:vAlign w:val="bottom"/>
          </w:tcPr>
          <w:p>
            <w:pPr>
              <w:ind w:left="520"/>
              <w:spacing w:after="0"/>
              <w:rPr>
                <w:sz w:val="20"/>
                <w:szCs w:val="20"/>
                <w:color w:val="auto"/>
              </w:rPr>
            </w:pPr>
            <w:r>
              <w:rPr>
                <w:rFonts w:ascii="Courier New" w:cs="Courier New" w:eastAsia="Courier New" w:hAnsi="Courier New"/>
                <w:sz w:val="17"/>
                <w:szCs w:val="17"/>
                <w:color w:val="auto"/>
              </w:rPr>
              <w:t>Accumulated deficit</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(32,566)</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(31,278)</w:t>
            </w:r>
          </w:p>
        </w:tc>
      </w:tr>
      <w:tr>
        <w:trPr>
          <w:trHeight w:val="200"/>
        </w:trPr>
        <w:tc>
          <w:tcPr>
            <w:tcW w:w="5300" w:type="dxa"/>
            <w:vAlign w:val="bottom"/>
          </w:tcPr>
          <w:p>
            <w:pPr>
              <w:spacing w:after="0"/>
              <w:rPr>
                <w:sz w:val="17"/>
                <w:szCs w:val="17"/>
                <w:color w:val="auto"/>
              </w:rPr>
            </w:pP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300" w:type="dxa"/>
            <w:vAlign w:val="bottom"/>
          </w:tcPr>
          <w:p>
            <w:pPr>
              <w:spacing w:after="0"/>
              <w:rPr>
                <w:sz w:val="20"/>
                <w:szCs w:val="20"/>
                <w:color w:val="auto"/>
              </w:rPr>
            </w:pPr>
            <w:r>
              <w:rPr>
                <w:rFonts w:ascii="Courier New" w:cs="Courier New" w:eastAsia="Courier New" w:hAnsi="Courier New"/>
                <w:sz w:val="17"/>
                <w:szCs w:val="17"/>
                <w:color w:val="auto"/>
              </w:rPr>
              <w:t>Total Shareholders' Equity</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35,434</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36,640</w:t>
            </w:r>
          </w:p>
        </w:tc>
      </w:tr>
      <w:tr>
        <w:trPr>
          <w:trHeight w:val="200"/>
        </w:trPr>
        <w:tc>
          <w:tcPr>
            <w:tcW w:w="5300" w:type="dxa"/>
            <w:vAlign w:val="bottom"/>
          </w:tcPr>
          <w:p>
            <w:pPr>
              <w:spacing w:after="0"/>
              <w:rPr>
                <w:sz w:val="17"/>
                <w:szCs w:val="17"/>
                <w:color w:val="auto"/>
              </w:rPr>
            </w:pP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300" w:type="dxa"/>
            <w:vAlign w:val="bottom"/>
          </w:tcPr>
          <w:p>
            <w:pPr>
              <w:spacing w:after="0"/>
              <w:rPr>
                <w:sz w:val="17"/>
                <w:szCs w:val="17"/>
                <w:color w:val="auto"/>
              </w:rPr>
            </w:pP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$36,974</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$38,358</w:t>
            </w:r>
          </w:p>
        </w:tc>
      </w:tr>
      <w:tr>
        <w:trPr>
          <w:trHeight w:val="200"/>
        </w:trPr>
        <w:tc>
          <w:tcPr>
            <w:tcW w:w="5300" w:type="dxa"/>
            <w:vAlign w:val="bottom"/>
          </w:tcPr>
          <w:p>
            <w:pPr>
              <w:spacing w:after="0"/>
              <w:rPr>
                <w:sz w:val="17"/>
                <w:szCs w:val="17"/>
                <w:color w:val="auto"/>
              </w:rPr>
            </w:pP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See accompanying notes.</w:t>
      </w:r>
    </w:p>
    <w:p>
      <w:pPr>
        <w:spacing w:after="0" w:line="200" w:lineRule="exact"/>
        <w:rPr>
          <w:sz w:val="20"/>
          <w:szCs w:val="20"/>
          <w:color w:val="auto"/>
        </w:rPr>
      </w:pPr>
    </w:p>
    <w:p>
      <w:pPr>
        <w:spacing w:after="0" w:line="20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15" w:right="1440" w:bottom="1440" w:gutter="0" w:footer="0" w:header="0"/>
        </w:sectPr>
      </w:pPr>
    </w:p>
    <w:bookmarkStart w:id="3" w:name="page4"/>
    <w:bookmarkEnd w:id="3"/>
    <w:p>
      <w:pPr>
        <w:jc w:val="center"/>
        <w:ind w:right="2719"/>
        <w:spacing w:after="0"/>
        <w:rPr>
          <w:sz w:val="20"/>
          <w:szCs w:val="20"/>
          <w:color w:val="auto"/>
        </w:rPr>
      </w:pPr>
      <w:r>
        <w:rPr>
          <w:rFonts w:ascii="Courier New" w:cs="Courier New" w:eastAsia="Courier New" w:hAnsi="Courier New"/>
          <w:sz w:val="17"/>
          <w:szCs w:val="17"/>
          <w:color w:val="auto"/>
        </w:rPr>
        <w:t>LANDEC CORPORATION</w:t>
      </w:r>
    </w:p>
    <w:p>
      <w:pPr>
        <w:spacing w:after="0" w:line="207"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7"/>
          <w:szCs w:val="17"/>
          <w:color w:val="auto"/>
        </w:rPr>
        <w:t>CONSOLIDATED STATEMENTS OF OPERATIONS</w:t>
      </w:r>
    </w:p>
    <w:p>
      <w:pPr>
        <w:spacing w:after="0" w:line="7"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7"/>
          <w:szCs w:val="17"/>
          <w:color w:val="auto"/>
        </w:rPr>
        <w:t>(Unaudited)</w:t>
      </w:r>
    </w:p>
    <w:p>
      <w:pPr>
        <w:spacing w:after="0" w:line="7"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7"/>
          <w:szCs w:val="17"/>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40" w:type="dxa"/>
            <w:vAlign w:val="bottom"/>
          </w:tcPr>
          <w:p>
            <w:pPr>
              <w:spacing w:after="0"/>
              <w:rPr>
                <w:sz w:val="16"/>
                <w:szCs w:val="16"/>
                <w:color w:val="auto"/>
              </w:rPr>
            </w:pPr>
          </w:p>
        </w:tc>
        <w:tc>
          <w:tcPr>
            <w:tcW w:w="34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Three Months Ended January 31,</w:t>
            </w:r>
          </w:p>
        </w:tc>
      </w:tr>
      <w:tr>
        <w:trPr>
          <w:trHeight w:val="200"/>
        </w:trPr>
        <w:tc>
          <w:tcPr>
            <w:tcW w:w="4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1997</w:t>
            </w:r>
          </w:p>
        </w:tc>
        <w:tc>
          <w:tcPr>
            <w:tcW w:w="680" w:type="dxa"/>
            <w:vAlign w:val="bottom"/>
          </w:tcPr>
          <w:p>
            <w:pPr>
              <w:spacing w:after="0"/>
              <w:rPr>
                <w:sz w:val="17"/>
                <w:szCs w:val="17"/>
                <w:color w:val="auto"/>
              </w:rPr>
            </w:pPr>
          </w:p>
        </w:tc>
        <w:tc>
          <w:tcPr>
            <w:tcW w:w="8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1996</w:t>
            </w:r>
          </w:p>
        </w:tc>
      </w:tr>
      <w:tr>
        <w:trPr>
          <w:trHeight w:val="200"/>
        </w:trPr>
        <w:tc>
          <w:tcPr>
            <w:tcW w:w="4740" w:type="dxa"/>
            <w:vAlign w:val="bottom"/>
          </w:tcPr>
          <w:p>
            <w:pPr>
              <w:spacing w:after="0"/>
              <w:rPr>
                <w:sz w:val="17"/>
                <w:szCs w:val="17"/>
                <w:color w:val="auto"/>
              </w:rPr>
            </w:pPr>
          </w:p>
        </w:tc>
        <w:tc>
          <w:tcPr>
            <w:tcW w:w="19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7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4740" w:type="dxa"/>
            <w:vAlign w:val="bottom"/>
          </w:tcPr>
          <w:p>
            <w:pPr>
              <w:ind w:left="520"/>
              <w:spacing w:after="0"/>
              <w:rPr>
                <w:sz w:val="20"/>
                <w:szCs w:val="20"/>
                <w:color w:val="auto"/>
              </w:rPr>
            </w:pPr>
            <w:r>
              <w:rPr>
                <w:rFonts w:ascii="Courier New" w:cs="Courier New" w:eastAsia="Courier New" w:hAnsi="Courier New"/>
                <w:sz w:val="17"/>
                <w:szCs w:val="17"/>
                <w:color w:val="auto"/>
              </w:rPr>
              <w:t>Product sales</w:t>
            </w:r>
          </w:p>
        </w:tc>
        <w:tc>
          <w:tcPr>
            <w:tcW w:w="62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173</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131</w:t>
            </w:r>
          </w:p>
        </w:tc>
      </w:tr>
      <w:tr>
        <w:trPr>
          <w:trHeight w:val="200"/>
        </w:trPr>
        <w:tc>
          <w:tcPr>
            <w:tcW w:w="4740" w:type="dxa"/>
            <w:vAlign w:val="bottom"/>
          </w:tcPr>
          <w:p>
            <w:pPr>
              <w:ind w:left="520"/>
              <w:spacing w:after="0"/>
              <w:rPr>
                <w:sz w:val="20"/>
                <w:szCs w:val="20"/>
                <w:color w:val="auto"/>
              </w:rPr>
            </w:pPr>
            <w:r>
              <w:rPr>
                <w:rFonts w:ascii="Courier New" w:cs="Courier New" w:eastAsia="Courier New" w:hAnsi="Courier New"/>
                <w:sz w:val="17"/>
                <w:szCs w:val="17"/>
                <w:color w:val="auto"/>
              </w:rPr>
              <w:t>Research and development revenues</w:t>
            </w:r>
          </w:p>
        </w:tc>
        <w:tc>
          <w:tcPr>
            <w:tcW w:w="620" w:type="dxa"/>
            <w:vAlign w:val="bottom"/>
          </w:tcPr>
          <w:p>
            <w:pPr>
              <w:spacing w:after="0"/>
              <w:rPr>
                <w:sz w:val="17"/>
                <w:szCs w:val="17"/>
                <w:color w:val="auto"/>
              </w:rPr>
            </w:pPr>
          </w:p>
        </w:tc>
        <w:tc>
          <w:tcPr>
            <w:tcW w:w="13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217</w:t>
            </w:r>
          </w:p>
        </w:tc>
        <w:tc>
          <w:tcPr>
            <w:tcW w:w="680" w:type="dxa"/>
            <w:vAlign w:val="bottom"/>
          </w:tcPr>
          <w:p>
            <w:pPr>
              <w:spacing w:after="0"/>
              <w:rPr>
                <w:sz w:val="17"/>
                <w:szCs w:val="17"/>
                <w:color w:val="auto"/>
              </w:rPr>
            </w:pPr>
          </w:p>
        </w:tc>
        <w:tc>
          <w:tcPr>
            <w:tcW w:w="8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288</w:t>
            </w:r>
          </w:p>
        </w:tc>
      </w:tr>
      <w:tr>
        <w:trPr>
          <w:trHeight w:val="200"/>
        </w:trPr>
        <w:tc>
          <w:tcPr>
            <w:tcW w:w="4740" w:type="dxa"/>
            <w:vAlign w:val="bottom"/>
          </w:tcPr>
          <w:p>
            <w:pPr>
              <w:spacing w:after="0"/>
              <w:rPr>
                <w:sz w:val="17"/>
                <w:szCs w:val="17"/>
                <w:color w:val="auto"/>
              </w:rPr>
            </w:pPr>
          </w:p>
        </w:tc>
        <w:tc>
          <w:tcPr>
            <w:tcW w:w="192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740" w:type="dxa"/>
            <w:vAlign w:val="bottom"/>
          </w:tcPr>
          <w:p>
            <w:pPr>
              <w:spacing w:after="0"/>
              <w:rPr>
                <w:sz w:val="20"/>
                <w:szCs w:val="20"/>
                <w:color w:val="auto"/>
              </w:rPr>
            </w:pPr>
            <w:r>
              <w:rPr>
                <w:rFonts w:ascii="Courier New" w:cs="Courier New" w:eastAsia="Courier New" w:hAnsi="Courier New"/>
                <w:sz w:val="17"/>
                <w:szCs w:val="17"/>
                <w:color w:val="auto"/>
              </w:rPr>
              <w:t>Total revenues</w:t>
            </w:r>
          </w:p>
        </w:tc>
        <w:tc>
          <w:tcPr>
            <w:tcW w:w="620" w:type="dxa"/>
            <w:vAlign w:val="bottom"/>
          </w:tcPr>
          <w:p>
            <w:pPr>
              <w:spacing w:after="0"/>
              <w:rPr>
                <w:sz w:val="17"/>
                <w:szCs w:val="17"/>
                <w:color w:val="auto"/>
              </w:rPr>
            </w:pPr>
          </w:p>
        </w:tc>
        <w:tc>
          <w:tcPr>
            <w:tcW w:w="13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390</w:t>
            </w:r>
          </w:p>
        </w:tc>
        <w:tc>
          <w:tcPr>
            <w:tcW w:w="680" w:type="dxa"/>
            <w:vAlign w:val="bottom"/>
          </w:tcPr>
          <w:p>
            <w:pPr>
              <w:spacing w:after="0"/>
              <w:rPr>
                <w:sz w:val="17"/>
                <w:szCs w:val="17"/>
                <w:color w:val="auto"/>
              </w:rPr>
            </w:pPr>
          </w:p>
        </w:tc>
        <w:tc>
          <w:tcPr>
            <w:tcW w:w="8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419</w:t>
            </w:r>
          </w:p>
        </w:tc>
      </w:tr>
      <w:tr>
        <w:trPr>
          <w:trHeight w:val="400"/>
        </w:trPr>
        <w:tc>
          <w:tcPr>
            <w:tcW w:w="4740" w:type="dxa"/>
            <w:vAlign w:val="bottom"/>
          </w:tcPr>
          <w:p>
            <w:pPr>
              <w:spacing w:after="0"/>
              <w:rPr>
                <w:sz w:val="20"/>
                <w:szCs w:val="20"/>
                <w:color w:val="auto"/>
              </w:rPr>
            </w:pPr>
            <w:r>
              <w:rPr>
                <w:rFonts w:ascii="Courier New" w:cs="Courier New" w:eastAsia="Courier New" w:hAnsi="Courier New"/>
                <w:sz w:val="17"/>
                <w:szCs w:val="17"/>
                <w:color w:val="auto"/>
              </w:rPr>
              <w:t>Operating costs and expenses:</w:t>
            </w: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4740" w:type="dxa"/>
            <w:vAlign w:val="bottom"/>
          </w:tcPr>
          <w:p>
            <w:pPr>
              <w:ind w:left="520"/>
              <w:spacing w:after="0"/>
              <w:rPr>
                <w:sz w:val="20"/>
                <w:szCs w:val="20"/>
                <w:color w:val="auto"/>
              </w:rPr>
            </w:pPr>
            <w:r>
              <w:rPr>
                <w:rFonts w:ascii="Courier New" w:cs="Courier New" w:eastAsia="Courier New" w:hAnsi="Courier New"/>
                <w:sz w:val="17"/>
                <w:szCs w:val="17"/>
                <w:color w:val="auto"/>
              </w:rPr>
              <w:t>Cost of product sales</w:t>
            </w:r>
          </w:p>
        </w:tc>
        <w:tc>
          <w:tcPr>
            <w:tcW w:w="620" w:type="dxa"/>
            <w:vAlign w:val="bottom"/>
          </w:tcPr>
          <w:p>
            <w:pPr>
              <w:spacing w:after="0"/>
              <w:rPr>
                <w:sz w:val="17"/>
                <w:szCs w:val="17"/>
                <w:color w:val="auto"/>
              </w:rPr>
            </w:pPr>
          </w:p>
        </w:tc>
        <w:tc>
          <w:tcPr>
            <w:tcW w:w="13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309</w:t>
            </w:r>
          </w:p>
        </w:tc>
        <w:tc>
          <w:tcPr>
            <w:tcW w:w="680" w:type="dxa"/>
            <w:vAlign w:val="bottom"/>
          </w:tcPr>
          <w:p>
            <w:pPr>
              <w:spacing w:after="0"/>
              <w:rPr>
                <w:sz w:val="17"/>
                <w:szCs w:val="17"/>
                <w:color w:val="auto"/>
              </w:rPr>
            </w:pPr>
          </w:p>
        </w:tc>
        <w:tc>
          <w:tcPr>
            <w:tcW w:w="8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244</w:t>
            </w:r>
          </w:p>
        </w:tc>
      </w:tr>
      <w:tr>
        <w:trPr>
          <w:trHeight w:val="200"/>
        </w:trPr>
        <w:tc>
          <w:tcPr>
            <w:tcW w:w="4740" w:type="dxa"/>
            <w:vAlign w:val="bottom"/>
          </w:tcPr>
          <w:p>
            <w:pPr>
              <w:ind w:left="520"/>
              <w:spacing w:after="0"/>
              <w:rPr>
                <w:sz w:val="20"/>
                <w:szCs w:val="20"/>
                <w:color w:val="auto"/>
              </w:rPr>
            </w:pPr>
            <w:r>
              <w:rPr>
                <w:rFonts w:ascii="Courier New" w:cs="Courier New" w:eastAsia="Courier New" w:hAnsi="Courier New"/>
                <w:sz w:val="17"/>
                <w:szCs w:val="17"/>
                <w:color w:val="auto"/>
              </w:rPr>
              <w:t>Research and development</w:t>
            </w:r>
          </w:p>
        </w:tc>
        <w:tc>
          <w:tcPr>
            <w:tcW w:w="620" w:type="dxa"/>
            <w:vAlign w:val="bottom"/>
          </w:tcPr>
          <w:p>
            <w:pPr>
              <w:spacing w:after="0"/>
              <w:rPr>
                <w:sz w:val="17"/>
                <w:szCs w:val="17"/>
                <w:color w:val="auto"/>
              </w:rPr>
            </w:pPr>
          </w:p>
        </w:tc>
        <w:tc>
          <w:tcPr>
            <w:tcW w:w="13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916</w:t>
            </w:r>
          </w:p>
        </w:tc>
        <w:tc>
          <w:tcPr>
            <w:tcW w:w="680" w:type="dxa"/>
            <w:vAlign w:val="bottom"/>
          </w:tcPr>
          <w:p>
            <w:pPr>
              <w:spacing w:after="0"/>
              <w:rPr>
                <w:sz w:val="17"/>
                <w:szCs w:val="17"/>
                <w:color w:val="auto"/>
              </w:rPr>
            </w:pPr>
          </w:p>
        </w:tc>
        <w:tc>
          <w:tcPr>
            <w:tcW w:w="8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953</w:t>
            </w:r>
          </w:p>
        </w:tc>
      </w:tr>
      <w:tr>
        <w:trPr>
          <w:trHeight w:val="200"/>
        </w:trPr>
        <w:tc>
          <w:tcPr>
            <w:tcW w:w="4740" w:type="dxa"/>
            <w:vAlign w:val="bottom"/>
          </w:tcPr>
          <w:p>
            <w:pPr>
              <w:ind w:left="520"/>
              <w:spacing w:after="0"/>
              <w:rPr>
                <w:sz w:val="20"/>
                <w:szCs w:val="20"/>
                <w:color w:val="auto"/>
              </w:rPr>
            </w:pPr>
            <w:r>
              <w:rPr>
                <w:rFonts w:ascii="Courier New" w:cs="Courier New" w:eastAsia="Courier New" w:hAnsi="Courier New"/>
                <w:sz w:val="17"/>
                <w:szCs w:val="17"/>
                <w:color w:val="auto"/>
              </w:rPr>
              <w:t>Selling, general and administrative</w:t>
            </w:r>
          </w:p>
        </w:tc>
        <w:tc>
          <w:tcPr>
            <w:tcW w:w="620" w:type="dxa"/>
            <w:vAlign w:val="bottom"/>
          </w:tcPr>
          <w:p>
            <w:pPr>
              <w:spacing w:after="0"/>
              <w:rPr>
                <w:sz w:val="17"/>
                <w:szCs w:val="17"/>
                <w:color w:val="auto"/>
              </w:rPr>
            </w:pPr>
          </w:p>
        </w:tc>
        <w:tc>
          <w:tcPr>
            <w:tcW w:w="13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934</w:t>
            </w:r>
          </w:p>
        </w:tc>
        <w:tc>
          <w:tcPr>
            <w:tcW w:w="680" w:type="dxa"/>
            <w:vAlign w:val="bottom"/>
          </w:tcPr>
          <w:p>
            <w:pPr>
              <w:spacing w:after="0"/>
              <w:rPr>
                <w:sz w:val="17"/>
                <w:szCs w:val="17"/>
                <w:color w:val="auto"/>
              </w:rPr>
            </w:pPr>
          </w:p>
        </w:tc>
        <w:tc>
          <w:tcPr>
            <w:tcW w:w="8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491</w:t>
            </w:r>
          </w:p>
        </w:tc>
      </w:tr>
      <w:tr>
        <w:trPr>
          <w:trHeight w:val="200"/>
        </w:trPr>
        <w:tc>
          <w:tcPr>
            <w:tcW w:w="4740" w:type="dxa"/>
            <w:vAlign w:val="bottom"/>
          </w:tcPr>
          <w:p>
            <w:pPr>
              <w:spacing w:after="0"/>
              <w:rPr>
                <w:sz w:val="17"/>
                <w:szCs w:val="17"/>
                <w:color w:val="auto"/>
              </w:rPr>
            </w:pPr>
          </w:p>
        </w:tc>
        <w:tc>
          <w:tcPr>
            <w:tcW w:w="192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740" w:type="dxa"/>
            <w:vAlign w:val="bottom"/>
          </w:tcPr>
          <w:p>
            <w:pPr>
              <w:spacing w:after="0"/>
              <w:rPr>
                <w:sz w:val="20"/>
                <w:szCs w:val="20"/>
                <w:color w:val="auto"/>
              </w:rPr>
            </w:pPr>
            <w:r>
              <w:rPr>
                <w:rFonts w:ascii="Courier New" w:cs="Courier New" w:eastAsia="Courier New" w:hAnsi="Courier New"/>
                <w:sz w:val="17"/>
                <w:szCs w:val="17"/>
                <w:color w:val="auto"/>
              </w:rPr>
              <w:t>Total operating costs and expenses</w:t>
            </w:r>
          </w:p>
        </w:tc>
        <w:tc>
          <w:tcPr>
            <w:tcW w:w="620" w:type="dxa"/>
            <w:vAlign w:val="bottom"/>
          </w:tcPr>
          <w:p>
            <w:pPr>
              <w:spacing w:after="0"/>
              <w:rPr>
                <w:sz w:val="17"/>
                <w:szCs w:val="17"/>
                <w:color w:val="auto"/>
              </w:rPr>
            </w:pPr>
          </w:p>
        </w:tc>
        <w:tc>
          <w:tcPr>
            <w:tcW w:w="13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2,159</w:t>
            </w:r>
          </w:p>
        </w:tc>
        <w:tc>
          <w:tcPr>
            <w:tcW w:w="680" w:type="dxa"/>
            <w:vAlign w:val="bottom"/>
          </w:tcPr>
          <w:p>
            <w:pPr>
              <w:spacing w:after="0"/>
              <w:rPr>
                <w:sz w:val="17"/>
                <w:szCs w:val="17"/>
                <w:color w:val="auto"/>
              </w:rPr>
            </w:pPr>
          </w:p>
        </w:tc>
        <w:tc>
          <w:tcPr>
            <w:tcW w:w="8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1,688</w:t>
            </w:r>
          </w:p>
        </w:tc>
      </w:tr>
      <w:tr>
        <w:trPr>
          <w:trHeight w:val="200"/>
        </w:trPr>
        <w:tc>
          <w:tcPr>
            <w:tcW w:w="4740" w:type="dxa"/>
            <w:vAlign w:val="bottom"/>
          </w:tcPr>
          <w:p>
            <w:pPr>
              <w:spacing w:after="0"/>
              <w:rPr>
                <w:sz w:val="17"/>
                <w:szCs w:val="17"/>
                <w:color w:val="auto"/>
              </w:rPr>
            </w:pPr>
          </w:p>
        </w:tc>
        <w:tc>
          <w:tcPr>
            <w:tcW w:w="192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740" w:type="dxa"/>
            <w:vAlign w:val="bottom"/>
          </w:tcPr>
          <w:p>
            <w:pPr>
              <w:spacing w:after="0"/>
              <w:rPr>
                <w:sz w:val="20"/>
                <w:szCs w:val="20"/>
                <w:color w:val="auto"/>
              </w:rPr>
            </w:pPr>
            <w:r>
              <w:rPr>
                <w:rFonts w:ascii="Courier New" w:cs="Courier New" w:eastAsia="Courier New" w:hAnsi="Courier New"/>
                <w:sz w:val="17"/>
                <w:szCs w:val="17"/>
                <w:color w:val="auto"/>
              </w:rPr>
              <w:t>Operating loss</w:t>
            </w:r>
          </w:p>
        </w:tc>
        <w:tc>
          <w:tcPr>
            <w:tcW w:w="62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(1,769)</w:t>
            </w:r>
          </w:p>
        </w:tc>
        <w:tc>
          <w:tcPr>
            <w:tcW w:w="68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(1,269)</w:t>
            </w:r>
          </w:p>
        </w:tc>
      </w:tr>
      <w:tr>
        <w:trPr>
          <w:trHeight w:val="400"/>
        </w:trPr>
        <w:tc>
          <w:tcPr>
            <w:tcW w:w="4740" w:type="dxa"/>
            <w:vAlign w:val="bottom"/>
          </w:tcPr>
          <w:p>
            <w:pPr>
              <w:spacing w:after="0"/>
              <w:rPr>
                <w:sz w:val="20"/>
                <w:szCs w:val="20"/>
                <w:color w:val="auto"/>
              </w:rPr>
            </w:pPr>
            <w:r>
              <w:rPr>
                <w:rFonts w:ascii="Courier New" w:cs="Courier New" w:eastAsia="Courier New" w:hAnsi="Courier New"/>
                <w:sz w:val="17"/>
                <w:szCs w:val="17"/>
                <w:color w:val="auto"/>
              </w:rPr>
              <w:t>Interest income</w:t>
            </w:r>
          </w:p>
        </w:tc>
        <w:tc>
          <w:tcPr>
            <w:tcW w:w="620" w:type="dxa"/>
            <w:vAlign w:val="bottom"/>
          </w:tcPr>
          <w:p>
            <w:pPr>
              <w:spacing w:after="0"/>
              <w:rPr>
                <w:sz w:val="24"/>
                <w:szCs w:val="24"/>
                <w:color w:val="auto"/>
              </w:rPr>
            </w:pPr>
          </w:p>
        </w:tc>
        <w:tc>
          <w:tcPr>
            <w:tcW w:w="13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494</w:t>
            </w:r>
          </w:p>
        </w:tc>
        <w:tc>
          <w:tcPr>
            <w:tcW w:w="680" w:type="dxa"/>
            <w:vAlign w:val="bottom"/>
          </w:tcPr>
          <w:p>
            <w:pPr>
              <w:spacing w:after="0"/>
              <w:rPr>
                <w:sz w:val="24"/>
                <w:szCs w:val="24"/>
                <w:color w:val="auto"/>
              </w:rPr>
            </w:pPr>
          </w:p>
        </w:tc>
        <w:tc>
          <w:tcPr>
            <w:tcW w:w="8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67</w:t>
            </w:r>
          </w:p>
        </w:tc>
      </w:tr>
      <w:tr>
        <w:trPr>
          <w:trHeight w:val="200"/>
        </w:trPr>
        <w:tc>
          <w:tcPr>
            <w:tcW w:w="474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62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(20)</w:t>
            </w:r>
          </w:p>
        </w:tc>
        <w:tc>
          <w:tcPr>
            <w:tcW w:w="68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w:t>
            </w:r>
          </w:p>
        </w:tc>
      </w:tr>
      <w:tr>
        <w:trPr>
          <w:trHeight w:val="200"/>
        </w:trPr>
        <w:tc>
          <w:tcPr>
            <w:tcW w:w="4740" w:type="dxa"/>
            <w:vAlign w:val="bottom"/>
          </w:tcPr>
          <w:p>
            <w:pPr>
              <w:spacing w:after="0"/>
              <w:rPr>
                <w:sz w:val="17"/>
                <w:szCs w:val="17"/>
                <w:color w:val="auto"/>
              </w:rPr>
            </w:pPr>
          </w:p>
        </w:tc>
        <w:tc>
          <w:tcPr>
            <w:tcW w:w="192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74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192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 (1,295)</w:t>
            </w:r>
          </w:p>
        </w:tc>
        <w:tc>
          <w:tcPr>
            <w:tcW w:w="15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(1,248)</w:t>
            </w:r>
          </w:p>
        </w:tc>
      </w:tr>
      <w:tr>
        <w:trPr>
          <w:trHeight w:val="200"/>
        </w:trPr>
        <w:tc>
          <w:tcPr>
            <w:tcW w:w="4740" w:type="dxa"/>
            <w:vAlign w:val="bottom"/>
          </w:tcPr>
          <w:p>
            <w:pPr>
              <w:spacing w:after="0"/>
              <w:rPr>
                <w:sz w:val="17"/>
                <w:szCs w:val="17"/>
                <w:color w:val="auto"/>
              </w:rPr>
            </w:pPr>
          </w:p>
        </w:tc>
        <w:tc>
          <w:tcPr>
            <w:tcW w:w="192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599"/>
        </w:trPr>
        <w:tc>
          <w:tcPr>
            <w:tcW w:w="4740" w:type="dxa"/>
            <w:vAlign w:val="bottom"/>
          </w:tcPr>
          <w:p>
            <w:pPr>
              <w:spacing w:after="0"/>
              <w:rPr>
                <w:sz w:val="20"/>
                <w:szCs w:val="20"/>
                <w:color w:val="auto"/>
              </w:rPr>
            </w:pPr>
            <w:r>
              <w:rPr>
                <w:rFonts w:ascii="Courier New" w:cs="Courier New" w:eastAsia="Courier New" w:hAnsi="Courier New"/>
                <w:sz w:val="17"/>
                <w:szCs w:val="17"/>
                <w:color w:val="auto"/>
              </w:rPr>
              <w:t>Net loss per share</w:t>
            </w:r>
          </w:p>
        </w:tc>
        <w:tc>
          <w:tcPr>
            <w:tcW w:w="62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(.12)</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(2.26)</w:t>
            </w:r>
          </w:p>
        </w:tc>
      </w:tr>
      <w:tr>
        <w:trPr>
          <w:trHeight w:val="200"/>
        </w:trPr>
        <w:tc>
          <w:tcPr>
            <w:tcW w:w="4740" w:type="dxa"/>
            <w:vAlign w:val="bottom"/>
          </w:tcPr>
          <w:p>
            <w:pPr>
              <w:spacing w:after="0"/>
              <w:rPr>
                <w:sz w:val="17"/>
                <w:szCs w:val="17"/>
                <w:color w:val="auto"/>
              </w:rPr>
            </w:pPr>
          </w:p>
        </w:tc>
        <w:tc>
          <w:tcPr>
            <w:tcW w:w="192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740" w:type="dxa"/>
            <w:vAlign w:val="bottom"/>
          </w:tcPr>
          <w:p>
            <w:pPr>
              <w:spacing w:after="0"/>
              <w:rPr>
                <w:sz w:val="20"/>
                <w:szCs w:val="20"/>
                <w:color w:val="auto"/>
              </w:rPr>
            </w:pPr>
            <w:r>
              <w:rPr>
                <w:rFonts w:ascii="Courier New" w:cs="Courier New" w:eastAsia="Courier New" w:hAnsi="Courier New"/>
                <w:sz w:val="17"/>
                <w:szCs w:val="17"/>
                <w:color w:val="auto"/>
              </w:rPr>
              <w:t>Shares used in computation of</w:t>
            </w: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4740" w:type="dxa"/>
            <w:vAlign w:val="bottom"/>
          </w:tcPr>
          <w:p>
            <w:pPr>
              <w:ind w:left="220"/>
              <w:spacing w:after="0"/>
              <w:rPr>
                <w:sz w:val="20"/>
                <w:szCs w:val="20"/>
                <w:color w:val="auto"/>
              </w:rPr>
            </w:pPr>
            <w:r>
              <w:rPr>
                <w:rFonts w:ascii="Courier New" w:cs="Courier New" w:eastAsia="Courier New" w:hAnsi="Courier New"/>
                <w:sz w:val="17"/>
                <w:szCs w:val="17"/>
                <w:color w:val="auto"/>
              </w:rPr>
              <w:t>net loss per share</w:t>
            </w:r>
          </w:p>
        </w:tc>
        <w:tc>
          <w:tcPr>
            <w:tcW w:w="620" w:type="dxa"/>
            <w:vAlign w:val="bottom"/>
          </w:tcPr>
          <w:p>
            <w:pPr>
              <w:spacing w:after="0"/>
              <w:rPr>
                <w:sz w:val="17"/>
                <w:szCs w:val="17"/>
                <w:color w:val="auto"/>
              </w:rPr>
            </w:pPr>
          </w:p>
        </w:tc>
        <w:tc>
          <w:tcPr>
            <w:tcW w:w="13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10,760</w:t>
            </w:r>
          </w:p>
        </w:tc>
        <w:tc>
          <w:tcPr>
            <w:tcW w:w="680" w:type="dxa"/>
            <w:vAlign w:val="bottom"/>
          </w:tcPr>
          <w:p>
            <w:pPr>
              <w:spacing w:after="0"/>
              <w:rPr>
                <w:sz w:val="17"/>
                <w:szCs w:val="17"/>
                <w:color w:val="auto"/>
              </w:rPr>
            </w:pPr>
          </w:p>
        </w:tc>
        <w:tc>
          <w:tcPr>
            <w:tcW w:w="8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552</w:t>
            </w:r>
          </w:p>
        </w:tc>
      </w:tr>
      <w:tr>
        <w:trPr>
          <w:trHeight w:val="200"/>
        </w:trPr>
        <w:tc>
          <w:tcPr>
            <w:tcW w:w="4740" w:type="dxa"/>
            <w:vAlign w:val="bottom"/>
          </w:tcPr>
          <w:p>
            <w:pPr>
              <w:spacing w:after="0"/>
              <w:rPr>
                <w:sz w:val="17"/>
                <w:szCs w:val="17"/>
                <w:color w:val="auto"/>
              </w:rPr>
            </w:pPr>
          </w:p>
        </w:tc>
        <w:tc>
          <w:tcPr>
            <w:tcW w:w="192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400"/>
        </w:trPr>
        <w:tc>
          <w:tcPr>
            <w:tcW w:w="4740" w:type="dxa"/>
            <w:vAlign w:val="bottom"/>
          </w:tcPr>
          <w:p>
            <w:pPr>
              <w:spacing w:after="0"/>
              <w:rPr>
                <w:sz w:val="20"/>
                <w:szCs w:val="20"/>
                <w:color w:val="auto"/>
              </w:rPr>
            </w:pPr>
            <w:r>
              <w:rPr>
                <w:rFonts w:ascii="Courier New" w:cs="Courier New" w:eastAsia="Courier New" w:hAnsi="Courier New"/>
                <w:sz w:val="17"/>
                <w:szCs w:val="17"/>
                <w:color w:val="auto"/>
              </w:rPr>
              <w:t>Supplemental net loss per share</w:t>
            </w: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w:t>
            </w:r>
          </w:p>
        </w:tc>
      </w:tr>
      <w:tr>
        <w:trPr>
          <w:trHeight w:val="200"/>
        </w:trPr>
        <w:tc>
          <w:tcPr>
            <w:tcW w:w="4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740" w:type="dxa"/>
            <w:vAlign w:val="bottom"/>
          </w:tcPr>
          <w:p>
            <w:pPr>
              <w:spacing w:after="0"/>
              <w:rPr>
                <w:sz w:val="20"/>
                <w:szCs w:val="20"/>
                <w:color w:val="auto"/>
              </w:rPr>
            </w:pPr>
            <w:r>
              <w:rPr>
                <w:rFonts w:ascii="Courier New" w:cs="Courier New" w:eastAsia="Courier New" w:hAnsi="Courier New"/>
                <w:sz w:val="17"/>
                <w:szCs w:val="17"/>
                <w:color w:val="auto"/>
              </w:rPr>
              <w:t>Shares used in computation of supplemental</w:t>
            </w: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4740" w:type="dxa"/>
            <w:vAlign w:val="bottom"/>
          </w:tcPr>
          <w:p>
            <w:pPr>
              <w:ind w:left="220"/>
              <w:spacing w:after="0"/>
              <w:rPr>
                <w:sz w:val="20"/>
                <w:szCs w:val="20"/>
                <w:color w:val="auto"/>
              </w:rPr>
            </w:pPr>
            <w:r>
              <w:rPr>
                <w:rFonts w:ascii="Courier New" w:cs="Courier New" w:eastAsia="Courier New" w:hAnsi="Courier New"/>
                <w:sz w:val="17"/>
                <w:szCs w:val="17"/>
                <w:color w:val="auto"/>
              </w:rPr>
              <w:t>net loss per share</w:t>
            </w: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7,403</w:t>
            </w:r>
          </w:p>
        </w:tc>
      </w:tr>
      <w:tr>
        <w:trPr>
          <w:trHeight w:val="200"/>
        </w:trPr>
        <w:tc>
          <w:tcPr>
            <w:tcW w:w="4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7"/>
          <w:szCs w:val="17"/>
          <w:color w:val="auto"/>
        </w:rPr>
        <w:t>See accompanying notes.</w:t>
      </w:r>
    </w:p>
    <w:p>
      <w:pPr>
        <w:spacing w:after="0" w:line="20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914" w:right="1440" w:bottom="1440" w:gutter="0" w:footer="0" w:header="0"/>
        </w:sectPr>
      </w:pPr>
    </w:p>
    <w:bookmarkStart w:id="4" w:name="page5"/>
    <w:bookmarkEnd w:id="4"/>
    <w:p>
      <w:pPr>
        <w:jc w:val="center"/>
        <w:ind w:right="4020"/>
        <w:spacing w:after="0"/>
        <w:rPr>
          <w:sz w:val="20"/>
          <w:szCs w:val="20"/>
          <w:color w:val="auto"/>
        </w:rPr>
      </w:pPr>
      <w:r>
        <w:rPr>
          <w:rFonts w:ascii="Courier New" w:cs="Courier New" w:eastAsia="Courier New" w:hAnsi="Courier New"/>
          <w:sz w:val="17"/>
          <w:szCs w:val="17"/>
          <w:color w:val="auto"/>
        </w:rPr>
        <w:t>LANDEC CORPORATION</w:t>
      </w:r>
    </w:p>
    <w:p>
      <w:pPr>
        <w:spacing w:after="0" w:line="7"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7"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7"/>
          <w:szCs w:val="17"/>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20" w:type="dxa"/>
            <w:vAlign w:val="bottom"/>
          </w:tcPr>
          <w:p>
            <w:pPr>
              <w:ind w:left="3020"/>
              <w:spacing w:after="0"/>
              <w:rPr>
                <w:sz w:val="20"/>
                <w:szCs w:val="20"/>
                <w:color w:val="auto"/>
              </w:rPr>
            </w:pPr>
            <w:r>
              <w:rPr>
                <w:rFonts w:ascii="Courier New" w:cs="Courier New" w:eastAsia="Courier New" w:hAnsi="Courier New"/>
                <w:sz w:val="17"/>
                <w:szCs w:val="17"/>
                <w:color w:val="auto"/>
              </w:rPr>
              <w:t>(In thousands)</w:t>
            </w:r>
          </w:p>
        </w:tc>
        <w:tc>
          <w:tcPr>
            <w:tcW w:w="2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400"/>
        </w:trPr>
        <w:tc>
          <w:tcPr>
            <w:tcW w:w="8220" w:type="dxa"/>
            <w:vAlign w:val="bottom"/>
          </w:tcPr>
          <w:p>
            <w:pPr>
              <w:spacing w:after="0"/>
              <w:rPr>
                <w:sz w:val="24"/>
                <w:szCs w:val="24"/>
                <w:color w:val="auto"/>
              </w:rPr>
            </w:pPr>
          </w:p>
        </w:tc>
        <w:tc>
          <w:tcPr>
            <w:tcW w:w="2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Three Months Ended</w:t>
            </w:r>
          </w:p>
        </w:tc>
        <w:tc>
          <w:tcPr>
            <w:tcW w:w="700" w:type="dxa"/>
            <w:vAlign w:val="bottom"/>
          </w:tcPr>
          <w:p>
            <w:pPr>
              <w:spacing w:after="0"/>
              <w:rPr>
                <w:sz w:val="24"/>
                <w:szCs w:val="24"/>
                <w:color w:val="auto"/>
              </w:rPr>
            </w:pPr>
          </w:p>
        </w:tc>
      </w:tr>
      <w:tr>
        <w:trPr>
          <w:trHeight w:val="200"/>
        </w:trPr>
        <w:tc>
          <w:tcPr>
            <w:tcW w:w="822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7"/>
                <w:szCs w:val="17"/>
                <w:color w:val="auto"/>
              </w:rPr>
              <w:t>January 31,</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0"/>
        </w:trPr>
        <w:tc>
          <w:tcPr>
            <w:tcW w:w="8220" w:type="dxa"/>
            <w:vAlign w:val="bottom"/>
          </w:tcPr>
          <w:p>
            <w:pPr>
              <w:spacing w:after="0"/>
              <w:rPr>
                <w:sz w:val="17"/>
                <w:szCs w:val="17"/>
                <w:color w:val="auto"/>
              </w:rPr>
            </w:pPr>
          </w:p>
        </w:tc>
        <w:tc>
          <w:tcPr>
            <w:tcW w:w="234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1997</w:t>
            </w:r>
          </w:p>
        </w:tc>
        <w:tc>
          <w:tcPr>
            <w:tcW w:w="260" w:type="dxa"/>
            <w:vAlign w:val="bottom"/>
          </w:tcPr>
          <w:p>
            <w:pPr>
              <w:spacing w:after="0"/>
              <w:rPr>
                <w:sz w:val="17"/>
                <w:szCs w:val="17"/>
                <w:color w:val="auto"/>
              </w:rPr>
            </w:pPr>
          </w:p>
        </w:tc>
        <w:tc>
          <w:tcPr>
            <w:tcW w:w="700" w:type="dxa"/>
            <w:vAlign w:val="bottom"/>
          </w:tcPr>
          <w:p>
            <w:pPr>
              <w:jc w:val="right"/>
              <w:ind w:right="213"/>
              <w:spacing w:after="0"/>
              <w:rPr>
                <w:sz w:val="20"/>
                <w:szCs w:val="20"/>
                <w:color w:val="auto"/>
              </w:rPr>
            </w:pPr>
            <w:r>
              <w:rPr>
                <w:rFonts w:ascii="Courier New" w:cs="Courier New" w:eastAsia="Courier New" w:hAnsi="Courier New"/>
                <w:sz w:val="17"/>
                <w:szCs w:val="17"/>
                <w:color w:val="auto"/>
                <w:w w:val="93"/>
              </w:rPr>
              <w:t>1996</w:t>
            </w:r>
          </w:p>
        </w:tc>
      </w:tr>
      <w:tr>
        <w:trPr>
          <w:trHeight w:val="200"/>
        </w:trPr>
        <w:tc>
          <w:tcPr>
            <w:tcW w:w="8220" w:type="dxa"/>
            <w:vAlign w:val="bottom"/>
          </w:tcPr>
          <w:p>
            <w:pPr>
              <w:spacing w:after="0"/>
              <w:rPr>
                <w:sz w:val="17"/>
                <w:szCs w:val="17"/>
                <w:color w:val="auto"/>
              </w:rPr>
            </w:pPr>
          </w:p>
        </w:tc>
        <w:tc>
          <w:tcPr>
            <w:tcW w:w="23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99"/>
        </w:trPr>
        <w:tc>
          <w:tcPr>
            <w:tcW w:w="82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0"/>
        </w:trPr>
        <w:tc>
          <w:tcPr>
            <w:tcW w:w="822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234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 (1,295)</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(1,248)</w:t>
            </w:r>
          </w:p>
        </w:tc>
      </w:tr>
      <w:tr>
        <w:trPr>
          <w:trHeight w:val="200"/>
        </w:trPr>
        <w:tc>
          <w:tcPr>
            <w:tcW w:w="8220" w:type="dxa"/>
            <w:vAlign w:val="bottom"/>
          </w:tcPr>
          <w:p>
            <w:pPr>
              <w:spacing w:after="0"/>
              <w:rPr>
                <w:sz w:val="20"/>
                <w:szCs w:val="20"/>
                <w:color w:val="auto"/>
              </w:rPr>
            </w:pPr>
            <w:r>
              <w:rPr>
                <w:rFonts w:ascii="Courier New" w:cs="Courier New" w:eastAsia="Courier New" w:hAnsi="Courier New"/>
                <w:sz w:val="17"/>
                <w:szCs w:val="17"/>
                <w:color w:val="auto"/>
              </w:rPr>
              <w:t>Adjustments to reconcile net loss to net cash used in operating activities:</w:t>
            </w:r>
          </w:p>
        </w:tc>
        <w:tc>
          <w:tcPr>
            <w:tcW w:w="2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0"/>
        </w:trPr>
        <w:tc>
          <w:tcPr>
            <w:tcW w:w="8220" w:type="dxa"/>
            <w:vAlign w:val="bottom"/>
          </w:tcPr>
          <w:p>
            <w:pPr>
              <w:ind w:left="520"/>
              <w:spacing w:after="0"/>
              <w:rPr>
                <w:sz w:val="20"/>
                <w:szCs w:val="20"/>
                <w:color w:val="auto"/>
              </w:rPr>
            </w:pPr>
            <w:r>
              <w:rPr>
                <w:rFonts w:ascii="Courier New" w:cs="Courier New" w:eastAsia="Courier New" w:hAnsi="Courier New"/>
                <w:sz w:val="17"/>
                <w:szCs w:val="17"/>
                <w:color w:val="auto"/>
              </w:rPr>
              <w:t>Depreciation and amortization</w:t>
            </w:r>
          </w:p>
        </w:tc>
        <w:tc>
          <w:tcPr>
            <w:tcW w:w="23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108</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96</w:t>
            </w:r>
          </w:p>
        </w:tc>
      </w:tr>
      <w:tr>
        <w:trPr>
          <w:trHeight w:val="200"/>
        </w:trPr>
        <w:tc>
          <w:tcPr>
            <w:tcW w:w="8220" w:type="dxa"/>
            <w:vAlign w:val="bottom"/>
          </w:tcPr>
          <w:p>
            <w:pPr>
              <w:ind w:left="520"/>
              <w:spacing w:after="0"/>
              <w:rPr>
                <w:sz w:val="20"/>
                <w:szCs w:val="20"/>
                <w:color w:val="auto"/>
              </w:rPr>
            </w:pPr>
            <w:r>
              <w:rPr>
                <w:rFonts w:ascii="Courier New" w:cs="Courier New" w:eastAsia="Courier New" w:hAnsi="Courier New"/>
                <w:sz w:val="17"/>
                <w:szCs w:val="17"/>
                <w:color w:val="auto"/>
              </w:rPr>
              <w:t>Amortization of deferred compensation</w:t>
            </w:r>
          </w:p>
        </w:tc>
        <w:tc>
          <w:tcPr>
            <w:tcW w:w="23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28</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r>
      <w:tr>
        <w:trPr>
          <w:trHeight w:val="200"/>
        </w:trPr>
        <w:tc>
          <w:tcPr>
            <w:tcW w:w="8220" w:type="dxa"/>
            <w:vAlign w:val="bottom"/>
          </w:tcPr>
          <w:p>
            <w:pPr>
              <w:ind w:left="520"/>
              <w:spacing w:after="0"/>
              <w:rPr>
                <w:sz w:val="20"/>
                <w:szCs w:val="20"/>
                <w:color w:val="auto"/>
              </w:rPr>
            </w:pPr>
            <w:r>
              <w:rPr>
                <w:rFonts w:ascii="Courier New" w:cs="Courier New" w:eastAsia="Courier New" w:hAnsi="Courier New"/>
                <w:sz w:val="17"/>
                <w:szCs w:val="17"/>
                <w:color w:val="auto"/>
              </w:rPr>
              <w:t>Changes in current assets and liabilities:</w:t>
            </w:r>
          </w:p>
        </w:tc>
        <w:tc>
          <w:tcPr>
            <w:tcW w:w="2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0"/>
        </w:trPr>
        <w:tc>
          <w:tcPr>
            <w:tcW w:w="8220" w:type="dxa"/>
            <w:vAlign w:val="bottom"/>
          </w:tcPr>
          <w:p>
            <w:pPr>
              <w:ind w:left="940"/>
              <w:spacing w:after="0"/>
              <w:rPr>
                <w:sz w:val="20"/>
                <w:szCs w:val="20"/>
                <w:color w:val="auto"/>
              </w:rPr>
            </w:pPr>
            <w:r>
              <w:rPr>
                <w:rFonts w:ascii="Courier New" w:cs="Courier New" w:eastAsia="Courier New" w:hAnsi="Courier New"/>
                <w:sz w:val="17"/>
                <w:szCs w:val="17"/>
                <w:color w:val="auto"/>
              </w:rPr>
              <w:t>Accounts receivable</w:t>
            </w:r>
          </w:p>
        </w:tc>
        <w:tc>
          <w:tcPr>
            <w:tcW w:w="234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(79)</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(77)</w:t>
            </w:r>
          </w:p>
        </w:tc>
      </w:tr>
      <w:tr>
        <w:trPr>
          <w:trHeight w:val="200"/>
        </w:trPr>
        <w:tc>
          <w:tcPr>
            <w:tcW w:w="8220" w:type="dxa"/>
            <w:vAlign w:val="bottom"/>
          </w:tcPr>
          <w:p>
            <w:pPr>
              <w:ind w:left="940"/>
              <w:spacing w:after="0"/>
              <w:rPr>
                <w:sz w:val="20"/>
                <w:szCs w:val="20"/>
                <w:color w:val="auto"/>
              </w:rPr>
            </w:pPr>
            <w:r>
              <w:rPr>
                <w:rFonts w:ascii="Courier New" w:cs="Courier New" w:eastAsia="Courier New" w:hAnsi="Courier New"/>
                <w:sz w:val="17"/>
                <w:szCs w:val="17"/>
                <w:color w:val="auto"/>
              </w:rPr>
              <w:t>Inventory</w:t>
            </w:r>
          </w:p>
        </w:tc>
        <w:tc>
          <w:tcPr>
            <w:tcW w:w="23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71</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8220" w:type="dxa"/>
            <w:vAlign w:val="bottom"/>
          </w:tcPr>
          <w:p>
            <w:pPr>
              <w:ind w:left="940"/>
              <w:spacing w:after="0"/>
              <w:rPr>
                <w:sz w:val="20"/>
                <w:szCs w:val="20"/>
                <w:color w:val="auto"/>
              </w:rPr>
            </w:pPr>
            <w:r>
              <w:rPr>
                <w:rFonts w:ascii="Courier New" w:cs="Courier New" w:eastAsia="Courier New" w:hAnsi="Courier New"/>
                <w:sz w:val="17"/>
                <w:szCs w:val="17"/>
                <w:color w:val="auto"/>
              </w:rPr>
              <w:t>Prepaid expenses and other current assets</w:t>
            </w:r>
          </w:p>
        </w:tc>
        <w:tc>
          <w:tcPr>
            <w:tcW w:w="234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(27)</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r>
      <w:tr>
        <w:trPr>
          <w:trHeight w:val="200"/>
        </w:trPr>
        <w:tc>
          <w:tcPr>
            <w:tcW w:w="8220" w:type="dxa"/>
            <w:vAlign w:val="bottom"/>
          </w:tcPr>
          <w:p>
            <w:pPr>
              <w:ind w:left="940"/>
              <w:spacing w:after="0"/>
              <w:rPr>
                <w:sz w:val="20"/>
                <w:szCs w:val="20"/>
                <w:color w:val="auto"/>
              </w:rPr>
            </w:pPr>
            <w:r>
              <w:rPr>
                <w:rFonts w:ascii="Courier New" w:cs="Courier New" w:eastAsia="Courier New" w:hAnsi="Courier New"/>
                <w:sz w:val="17"/>
                <w:szCs w:val="17"/>
                <w:color w:val="auto"/>
              </w:rPr>
              <w:t>Accounts payable</w:t>
            </w:r>
          </w:p>
        </w:tc>
        <w:tc>
          <w:tcPr>
            <w:tcW w:w="234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(186)</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279</w:t>
            </w:r>
          </w:p>
        </w:tc>
      </w:tr>
      <w:tr>
        <w:trPr>
          <w:trHeight w:val="200"/>
        </w:trPr>
        <w:tc>
          <w:tcPr>
            <w:tcW w:w="8220" w:type="dxa"/>
            <w:vAlign w:val="bottom"/>
          </w:tcPr>
          <w:p>
            <w:pPr>
              <w:ind w:left="940"/>
              <w:spacing w:after="0"/>
              <w:rPr>
                <w:sz w:val="20"/>
                <w:szCs w:val="20"/>
                <w:color w:val="auto"/>
              </w:rPr>
            </w:pPr>
            <w:r>
              <w:rPr>
                <w:rFonts w:ascii="Courier New" w:cs="Courier New" w:eastAsia="Courier New" w:hAnsi="Courier New"/>
                <w:sz w:val="17"/>
                <w:szCs w:val="17"/>
                <w:color w:val="auto"/>
              </w:rPr>
              <w:t>Accrued compensation</w:t>
            </w:r>
          </w:p>
        </w:tc>
        <w:tc>
          <w:tcPr>
            <w:tcW w:w="23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57</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(70)</w:t>
            </w:r>
          </w:p>
        </w:tc>
      </w:tr>
      <w:tr>
        <w:trPr>
          <w:trHeight w:val="200"/>
        </w:trPr>
        <w:tc>
          <w:tcPr>
            <w:tcW w:w="8220" w:type="dxa"/>
            <w:vAlign w:val="bottom"/>
          </w:tcPr>
          <w:p>
            <w:pPr>
              <w:ind w:left="940"/>
              <w:spacing w:after="0"/>
              <w:rPr>
                <w:sz w:val="20"/>
                <w:szCs w:val="20"/>
                <w:color w:val="auto"/>
              </w:rPr>
            </w:pPr>
            <w:r>
              <w:rPr>
                <w:rFonts w:ascii="Courier New" w:cs="Courier New" w:eastAsia="Courier New" w:hAnsi="Courier New"/>
                <w:sz w:val="17"/>
                <w:szCs w:val="17"/>
                <w:color w:val="auto"/>
              </w:rPr>
              <w:t>Other accrued liabilities</w:t>
            </w:r>
          </w:p>
        </w:tc>
        <w:tc>
          <w:tcPr>
            <w:tcW w:w="234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(57)</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200"/>
        </w:trPr>
        <w:tc>
          <w:tcPr>
            <w:tcW w:w="8220" w:type="dxa"/>
            <w:vAlign w:val="bottom"/>
          </w:tcPr>
          <w:p>
            <w:pPr>
              <w:ind w:left="940"/>
              <w:spacing w:after="0"/>
              <w:rPr>
                <w:sz w:val="20"/>
                <w:szCs w:val="20"/>
                <w:color w:val="auto"/>
              </w:rPr>
            </w:pPr>
            <w:r>
              <w:rPr>
                <w:rFonts w:ascii="Courier New" w:cs="Courier New" w:eastAsia="Courier New" w:hAnsi="Courier New"/>
                <w:sz w:val="17"/>
                <w:szCs w:val="17"/>
                <w:color w:val="auto"/>
              </w:rPr>
              <w:t>Deferred revenue</w:t>
            </w:r>
          </w:p>
        </w:tc>
        <w:tc>
          <w:tcPr>
            <w:tcW w:w="23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63</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(129)</w:t>
            </w:r>
          </w:p>
        </w:tc>
      </w:tr>
      <w:tr>
        <w:trPr>
          <w:trHeight w:val="200"/>
        </w:trPr>
        <w:tc>
          <w:tcPr>
            <w:tcW w:w="8220" w:type="dxa"/>
            <w:vAlign w:val="bottom"/>
          </w:tcPr>
          <w:p>
            <w:pPr>
              <w:spacing w:after="0"/>
              <w:rPr>
                <w:sz w:val="17"/>
                <w:szCs w:val="17"/>
                <w:color w:val="auto"/>
              </w:rPr>
            </w:pPr>
          </w:p>
        </w:tc>
        <w:tc>
          <w:tcPr>
            <w:tcW w:w="23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8220" w:type="dxa"/>
            <w:vAlign w:val="bottom"/>
          </w:tcPr>
          <w:p>
            <w:pPr>
              <w:ind w:left="520"/>
              <w:spacing w:after="0"/>
              <w:rPr>
                <w:sz w:val="20"/>
                <w:szCs w:val="20"/>
                <w:color w:val="auto"/>
              </w:rPr>
            </w:pPr>
            <w:r>
              <w:rPr>
                <w:rFonts w:ascii="Courier New" w:cs="Courier New" w:eastAsia="Courier New" w:hAnsi="Courier New"/>
                <w:sz w:val="17"/>
                <w:szCs w:val="17"/>
                <w:color w:val="auto"/>
              </w:rPr>
              <w:t>Total adjustments</w:t>
            </w:r>
          </w:p>
        </w:tc>
        <w:tc>
          <w:tcPr>
            <w:tcW w:w="234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(22)</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77</w:t>
            </w:r>
          </w:p>
        </w:tc>
      </w:tr>
      <w:tr>
        <w:trPr>
          <w:trHeight w:val="200"/>
        </w:trPr>
        <w:tc>
          <w:tcPr>
            <w:tcW w:w="8220" w:type="dxa"/>
            <w:vAlign w:val="bottom"/>
          </w:tcPr>
          <w:p>
            <w:pPr>
              <w:spacing w:after="0"/>
              <w:rPr>
                <w:sz w:val="17"/>
                <w:szCs w:val="17"/>
                <w:color w:val="auto"/>
              </w:rPr>
            </w:pPr>
          </w:p>
        </w:tc>
        <w:tc>
          <w:tcPr>
            <w:tcW w:w="23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8220" w:type="dxa"/>
            <w:vAlign w:val="bottom"/>
          </w:tcPr>
          <w:p>
            <w:pPr>
              <w:spacing w:after="0"/>
              <w:rPr>
                <w:sz w:val="20"/>
                <w:szCs w:val="20"/>
                <w:color w:val="auto"/>
              </w:rPr>
            </w:pPr>
            <w:r>
              <w:rPr>
                <w:rFonts w:ascii="Courier New" w:cs="Courier New" w:eastAsia="Courier New" w:hAnsi="Courier New"/>
                <w:sz w:val="17"/>
                <w:szCs w:val="17"/>
                <w:color w:val="auto"/>
              </w:rPr>
              <w:t>Net cash used in operating activities</w:t>
            </w:r>
          </w:p>
        </w:tc>
        <w:tc>
          <w:tcPr>
            <w:tcW w:w="234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(1,317)</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(1,171)</w:t>
            </w:r>
          </w:p>
        </w:tc>
      </w:tr>
      <w:tr>
        <w:trPr>
          <w:trHeight w:val="200"/>
        </w:trPr>
        <w:tc>
          <w:tcPr>
            <w:tcW w:w="8220" w:type="dxa"/>
            <w:vAlign w:val="bottom"/>
          </w:tcPr>
          <w:p>
            <w:pPr>
              <w:spacing w:after="0"/>
              <w:rPr>
                <w:sz w:val="17"/>
                <w:szCs w:val="17"/>
                <w:color w:val="auto"/>
              </w:rPr>
            </w:pPr>
          </w:p>
        </w:tc>
        <w:tc>
          <w:tcPr>
            <w:tcW w:w="23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822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0"/>
        </w:trPr>
        <w:tc>
          <w:tcPr>
            <w:tcW w:w="8220" w:type="dxa"/>
            <w:vAlign w:val="bottom"/>
          </w:tcPr>
          <w:p>
            <w:pPr>
              <w:spacing w:after="0"/>
              <w:rPr>
                <w:sz w:val="20"/>
                <w:szCs w:val="20"/>
                <w:color w:val="auto"/>
              </w:rPr>
            </w:pPr>
            <w:r>
              <w:rPr>
                <w:rFonts w:ascii="Courier New" w:cs="Courier New" w:eastAsia="Courier New" w:hAnsi="Courier New"/>
                <w:sz w:val="17"/>
                <w:szCs w:val="17"/>
                <w:color w:val="auto"/>
              </w:rPr>
              <w:t>Purchases of property and equipment</w:t>
            </w:r>
          </w:p>
        </w:tc>
        <w:tc>
          <w:tcPr>
            <w:tcW w:w="234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(400)</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(105)</w:t>
            </w:r>
          </w:p>
        </w:tc>
      </w:tr>
      <w:tr>
        <w:trPr>
          <w:trHeight w:val="200"/>
        </w:trPr>
        <w:tc>
          <w:tcPr>
            <w:tcW w:w="8220" w:type="dxa"/>
            <w:vAlign w:val="bottom"/>
          </w:tcPr>
          <w:p>
            <w:pPr>
              <w:spacing w:after="0"/>
              <w:rPr>
                <w:sz w:val="20"/>
                <w:szCs w:val="20"/>
                <w:color w:val="auto"/>
              </w:rPr>
            </w:pPr>
            <w:r>
              <w:rPr>
                <w:rFonts w:ascii="Courier New" w:cs="Courier New" w:eastAsia="Courier New" w:hAnsi="Courier New"/>
                <w:sz w:val="17"/>
                <w:szCs w:val="17"/>
                <w:color w:val="auto"/>
              </w:rPr>
              <w:t>Purchases of available-for-sale securities</w:t>
            </w:r>
          </w:p>
        </w:tc>
        <w:tc>
          <w:tcPr>
            <w:tcW w:w="234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(8,597)</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(1,024)</w:t>
            </w:r>
          </w:p>
        </w:tc>
      </w:tr>
      <w:tr>
        <w:trPr>
          <w:trHeight w:val="200"/>
        </w:trPr>
        <w:tc>
          <w:tcPr>
            <w:tcW w:w="8220" w:type="dxa"/>
            <w:vAlign w:val="bottom"/>
          </w:tcPr>
          <w:p>
            <w:pPr>
              <w:spacing w:after="0"/>
              <w:rPr>
                <w:sz w:val="20"/>
                <w:szCs w:val="20"/>
                <w:color w:val="auto"/>
              </w:rPr>
            </w:pPr>
            <w:r>
              <w:rPr>
                <w:rFonts w:ascii="Courier New" w:cs="Courier New" w:eastAsia="Courier New" w:hAnsi="Courier New"/>
                <w:sz w:val="17"/>
                <w:szCs w:val="17"/>
                <w:color w:val="auto"/>
              </w:rPr>
              <w:t>Maturities of available-for-sale securities</w:t>
            </w:r>
          </w:p>
        </w:tc>
        <w:tc>
          <w:tcPr>
            <w:tcW w:w="23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6,500</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8220" w:type="dxa"/>
            <w:vAlign w:val="bottom"/>
          </w:tcPr>
          <w:p>
            <w:pPr>
              <w:spacing w:after="0"/>
              <w:rPr>
                <w:sz w:val="17"/>
                <w:szCs w:val="17"/>
                <w:color w:val="auto"/>
              </w:rPr>
            </w:pPr>
          </w:p>
        </w:tc>
        <w:tc>
          <w:tcPr>
            <w:tcW w:w="23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8220" w:type="dxa"/>
            <w:vAlign w:val="bottom"/>
          </w:tcPr>
          <w:p>
            <w:pPr>
              <w:spacing w:after="0"/>
              <w:rPr>
                <w:sz w:val="20"/>
                <w:szCs w:val="20"/>
                <w:color w:val="auto"/>
              </w:rPr>
            </w:pPr>
            <w:r>
              <w:rPr>
                <w:rFonts w:ascii="Courier New" w:cs="Courier New" w:eastAsia="Courier New" w:hAnsi="Courier New"/>
                <w:sz w:val="17"/>
                <w:szCs w:val="17"/>
                <w:color w:val="auto"/>
              </w:rPr>
              <w:t>Net cash used in investing activities:</w:t>
            </w:r>
          </w:p>
        </w:tc>
        <w:tc>
          <w:tcPr>
            <w:tcW w:w="234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(2,497)</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(1,129)</w:t>
            </w:r>
          </w:p>
        </w:tc>
      </w:tr>
      <w:tr>
        <w:trPr>
          <w:trHeight w:val="200"/>
        </w:trPr>
        <w:tc>
          <w:tcPr>
            <w:tcW w:w="8220" w:type="dxa"/>
            <w:vAlign w:val="bottom"/>
          </w:tcPr>
          <w:p>
            <w:pPr>
              <w:spacing w:after="0"/>
              <w:rPr>
                <w:sz w:val="17"/>
                <w:szCs w:val="17"/>
                <w:color w:val="auto"/>
              </w:rPr>
            </w:pPr>
          </w:p>
        </w:tc>
        <w:tc>
          <w:tcPr>
            <w:tcW w:w="23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822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0"/>
        </w:trPr>
        <w:tc>
          <w:tcPr>
            <w:tcW w:w="8220" w:type="dxa"/>
            <w:vAlign w:val="bottom"/>
          </w:tcPr>
          <w:p>
            <w:pPr>
              <w:spacing w:after="0"/>
              <w:rPr>
                <w:sz w:val="20"/>
                <w:szCs w:val="20"/>
                <w:color w:val="auto"/>
              </w:rPr>
            </w:pPr>
            <w:r>
              <w:rPr>
                <w:rFonts w:ascii="Courier New" w:cs="Courier New" w:eastAsia="Courier New" w:hAnsi="Courier New"/>
                <w:sz w:val="17"/>
                <w:szCs w:val="17"/>
                <w:color w:val="auto"/>
              </w:rPr>
              <w:t>Proceeds from sale of common stock</w:t>
            </w:r>
          </w:p>
        </w:tc>
        <w:tc>
          <w:tcPr>
            <w:tcW w:w="23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54</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200"/>
        </w:trPr>
        <w:tc>
          <w:tcPr>
            <w:tcW w:w="8220" w:type="dxa"/>
            <w:vAlign w:val="bottom"/>
          </w:tcPr>
          <w:p>
            <w:pPr>
              <w:spacing w:after="0"/>
              <w:rPr>
                <w:sz w:val="20"/>
                <w:szCs w:val="20"/>
                <w:color w:val="auto"/>
              </w:rPr>
            </w:pPr>
            <w:r>
              <w:rPr>
                <w:rFonts w:ascii="Courier New" w:cs="Courier New" w:eastAsia="Courier New" w:hAnsi="Courier New"/>
                <w:sz w:val="17"/>
                <w:szCs w:val="17"/>
                <w:color w:val="auto"/>
              </w:rPr>
              <w:t>Payments of capital lease obligations</w:t>
            </w:r>
          </w:p>
        </w:tc>
        <w:tc>
          <w:tcPr>
            <w:tcW w:w="234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(55)</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(57)</w:t>
            </w:r>
          </w:p>
        </w:tc>
      </w:tr>
      <w:tr>
        <w:trPr>
          <w:trHeight w:val="200"/>
        </w:trPr>
        <w:tc>
          <w:tcPr>
            <w:tcW w:w="8220" w:type="dxa"/>
            <w:vAlign w:val="bottom"/>
          </w:tcPr>
          <w:p>
            <w:pPr>
              <w:spacing w:after="0"/>
              <w:rPr>
                <w:sz w:val="20"/>
                <w:szCs w:val="20"/>
                <w:color w:val="auto"/>
              </w:rPr>
            </w:pPr>
            <w:r>
              <w:rPr>
                <w:rFonts w:ascii="Courier New" w:cs="Courier New" w:eastAsia="Courier New" w:hAnsi="Courier New"/>
                <w:sz w:val="17"/>
                <w:szCs w:val="17"/>
                <w:color w:val="auto"/>
              </w:rPr>
              <w:t>Initial public offering expenditures</w:t>
            </w:r>
          </w:p>
        </w:tc>
        <w:tc>
          <w:tcPr>
            <w:tcW w:w="23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(423)</w:t>
            </w:r>
          </w:p>
        </w:tc>
      </w:tr>
      <w:tr>
        <w:trPr>
          <w:trHeight w:val="200"/>
        </w:trPr>
        <w:tc>
          <w:tcPr>
            <w:tcW w:w="8220" w:type="dxa"/>
            <w:vAlign w:val="bottom"/>
          </w:tcPr>
          <w:p>
            <w:pPr>
              <w:spacing w:after="0"/>
              <w:rPr>
                <w:sz w:val="17"/>
                <w:szCs w:val="17"/>
                <w:color w:val="auto"/>
              </w:rPr>
            </w:pPr>
          </w:p>
        </w:tc>
        <w:tc>
          <w:tcPr>
            <w:tcW w:w="23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8220" w:type="dxa"/>
            <w:vAlign w:val="bottom"/>
          </w:tcPr>
          <w:p>
            <w:pPr>
              <w:spacing w:after="0"/>
              <w:rPr>
                <w:sz w:val="20"/>
                <w:szCs w:val="20"/>
                <w:color w:val="auto"/>
              </w:rPr>
            </w:pPr>
            <w:r>
              <w:rPr>
                <w:rFonts w:ascii="Courier New" w:cs="Courier New" w:eastAsia="Courier New" w:hAnsi="Courier New"/>
                <w:sz w:val="17"/>
                <w:szCs w:val="17"/>
                <w:color w:val="auto"/>
              </w:rPr>
              <w:t>Net cash used in financing activities</w:t>
            </w:r>
          </w:p>
        </w:tc>
        <w:tc>
          <w:tcPr>
            <w:tcW w:w="234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(1)</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(472)</w:t>
            </w:r>
          </w:p>
        </w:tc>
      </w:tr>
      <w:tr>
        <w:trPr>
          <w:trHeight w:val="200"/>
        </w:trPr>
        <w:tc>
          <w:tcPr>
            <w:tcW w:w="8220" w:type="dxa"/>
            <w:vAlign w:val="bottom"/>
          </w:tcPr>
          <w:p>
            <w:pPr>
              <w:spacing w:after="0"/>
              <w:rPr>
                <w:sz w:val="17"/>
                <w:szCs w:val="17"/>
                <w:color w:val="auto"/>
              </w:rPr>
            </w:pPr>
          </w:p>
        </w:tc>
        <w:tc>
          <w:tcPr>
            <w:tcW w:w="23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8220" w:type="dxa"/>
            <w:vAlign w:val="bottom"/>
          </w:tcPr>
          <w:p>
            <w:pPr>
              <w:spacing w:after="0"/>
              <w:rPr>
                <w:sz w:val="20"/>
                <w:szCs w:val="20"/>
                <w:color w:val="auto"/>
              </w:rPr>
            </w:pPr>
            <w:r>
              <w:rPr>
                <w:rFonts w:ascii="Courier New" w:cs="Courier New" w:eastAsia="Courier New" w:hAnsi="Courier New"/>
                <w:sz w:val="17"/>
                <w:szCs w:val="17"/>
                <w:color w:val="auto"/>
              </w:rPr>
              <w:t>Net decrease in cash and cash equivalents</w:t>
            </w:r>
          </w:p>
        </w:tc>
        <w:tc>
          <w:tcPr>
            <w:tcW w:w="234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(3,815)</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(2,772)</w:t>
            </w:r>
          </w:p>
        </w:tc>
      </w:tr>
      <w:tr>
        <w:trPr>
          <w:trHeight w:val="400"/>
        </w:trPr>
        <w:tc>
          <w:tcPr>
            <w:tcW w:w="822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 of period</w:t>
            </w:r>
          </w:p>
        </w:tc>
        <w:tc>
          <w:tcPr>
            <w:tcW w:w="23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14,185</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3,585</w:t>
            </w:r>
          </w:p>
        </w:tc>
      </w:tr>
      <w:tr>
        <w:trPr>
          <w:trHeight w:val="200"/>
        </w:trPr>
        <w:tc>
          <w:tcPr>
            <w:tcW w:w="8220" w:type="dxa"/>
            <w:vAlign w:val="bottom"/>
          </w:tcPr>
          <w:p>
            <w:pPr>
              <w:spacing w:after="0"/>
              <w:rPr>
                <w:sz w:val="17"/>
                <w:szCs w:val="17"/>
                <w:color w:val="auto"/>
              </w:rPr>
            </w:pPr>
          </w:p>
        </w:tc>
        <w:tc>
          <w:tcPr>
            <w:tcW w:w="23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822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end of period</w:t>
            </w:r>
          </w:p>
        </w:tc>
        <w:tc>
          <w:tcPr>
            <w:tcW w:w="23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$ 10,370</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813</w:t>
            </w:r>
          </w:p>
        </w:tc>
      </w:tr>
      <w:tr>
        <w:trPr>
          <w:trHeight w:val="200"/>
        </w:trPr>
        <w:tc>
          <w:tcPr>
            <w:tcW w:w="8220" w:type="dxa"/>
            <w:vAlign w:val="bottom"/>
          </w:tcPr>
          <w:p>
            <w:pPr>
              <w:spacing w:after="0"/>
              <w:rPr>
                <w:sz w:val="17"/>
                <w:szCs w:val="17"/>
                <w:color w:val="auto"/>
              </w:rPr>
            </w:pPr>
          </w:p>
        </w:tc>
        <w:tc>
          <w:tcPr>
            <w:tcW w:w="234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See accompanying notes.</w:t>
      </w:r>
    </w:p>
    <w:p>
      <w:pPr>
        <w:spacing w:after="0" w:line="200" w:lineRule="exact"/>
        <w:rPr>
          <w:sz w:val="20"/>
          <w:szCs w:val="20"/>
          <w:color w:val="auto"/>
        </w:rPr>
      </w:pPr>
    </w:p>
    <w:p>
      <w:pPr>
        <w:spacing w:after="0" w:line="20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1520"/>
          </w:cols>
          <w:pgMar w:left="240" w:top="715" w:right="139" w:bottom="1440" w:gutter="0" w:footer="0" w:header="0"/>
        </w:sectPr>
      </w:pPr>
    </w:p>
    <w:bookmarkStart w:id="5" w:name="page6"/>
    <w:bookmarkEnd w:id="5"/>
    <w:p>
      <w:pPr>
        <w:jc w:val="center"/>
        <w:ind w:right="2719"/>
        <w:spacing w:after="0"/>
        <w:rPr>
          <w:sz w:val="20"/>
          <w:szCs w:val="20"/>
          <w:color w:val="auto"/>
        </w:rPr>
      </w:pPr>
      <w:r>
        <w:rPr>
          <w:rFonts w:ascii="Courier New" w:cs="Courier New" w:eastAsia="Courier New" w:hAnsi="Courier New"/>
          <w:sz w:val="17"/>
          <w:szCs w:val="17"/>
          <w:color w:val="auto"/>
        </w:rPr>
        <w:t>LANDEC CORPORATION</w:t>
      </w:r>
    </w:p>
    <w:p>
      <w:pPr>
        <w:spacing w:after="0" w:line="7"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7"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7"/>
          <w:szCs w:val="17"/>
          <w:color w:val="auto"/>
        </w:rPr>
        <w:t>Unaudited</w:t>
      </w:r>
    </w:p>
    <w:p>
      <w:pPr>
        <w:spacing w:after="0" w:line="207" w:lineRule="exact"/>
        <w:rPr>
          <w:sz w:val="20"/>
          <w:szCs w:val="20"/>
          <w:color w:val="auto"/>
        </w:rPr>
      </w:pPr>
    </w:p>
    <w:p>
      <w:pPr>
        <w:ind w:left="520" w:hanging="513"/>
        <w:spacing w:after="0"/>
        <w:tabs>
          <w:tab w:leader="none" w:pos="5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Basis of Presentation</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The accompanying unaudited consolidated financial statements of Landec Corporation (the "Company" or "Landec") have been prepared in accordance with generally accepted accounting principles for interim financial information and with the instructions for Form 10-Q and Article 10 of Regulation S-X. In the opinion of management, all adjustments necessary to present fairly the financial position, results of operations, and cash flows at January 31, 1997, and for all periods presented, have been made. Although the Company believes that the disclosures in these financial statements are adequate to make the information presented not misleading, certain information normally included in financial statements and related footnotes prepared in accordance with generally accepted accounting principles have been condensed or omitted pursuant to the rules and regulations of the Securities and Exchange Commission. The accompanying financial data should be reviewed in conjunction with the audited financial statements and notes thereto included in the Company's Annual Report on Form 10-K for the fiscal year ended October 31, 1996.</w:t>
      </w:r>
    </w:p>
    <w:p>
      <w:pPr>
        <w:spacing w:after="0" w:line="200" w:lineRule="exact"/>
        <w:rPr>
          <w:sz w:val="20"/>
          <w:szCs w:val="20"/>
          <w:color w:val="auto"/>
        </w:rPr>
      </w:pPr>
    </w:p>
    <w:p>
      <w:pPr>
        <w:jc w:val="both"/>
        <w:ind w:right="1899" w:firstLine="935"/>
        <w:spacing w:after="0" w:line="250" w:lineRule="auto"/>
        <w:rPr>
          <w:sz w:val="20"/>
          <w:szCs w:val="20"/>
          <w:color w:val="auto"/>
        </w:rPr>
      </w:pPr>
      <w:r>
        <w:rPr>
          <w:rFonts w:ascii="Courier New" w:cs="Courier New" w:eastAsia="Courier New" w:hAnsi="Courier New"/>
          <w:sz w:val="17"/>
          <w:szCs w:val="17"/>
          <w:color w:val="auto"/>
        </w:rPr>
        <w:t>The results of operations for the three month period ended January 31, 1997 are not necessarily indicative of the results that may be expected for the fiscal year ended October 31, 1997.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20" w:type="dxa"/>
            <w:vAlign w:val="bottom"/>
          </w:tcPr>
          <w:p>
            <w:pPr>
              <w:spacing w:after="0"/>
              <w:rPr>
                <w:sz w:val="20"/>
                <w:szCs w:val="20"/>
                <w:color w:val="auto"/>
              </w:rPr>
            </w:pPr>
            <w:r>
              <w:rPr>
                <w:rFonts w:ascii="Courier New" w:cs="Courier New" w:eastAsia="Courier New" w:hAnsi="Courier New"/>
                <w:sz w:val="17"/>
                <w:szCs w:val="17"/>
                <w:color w:val="auto"/>
              </w:rPr>
              <w:t>2.   Inventories</w:t>
            </w: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400"/>
        </w:trPr>
        <w:tc>
          <w:tcPr>
            <w:tcW w:w="5000" w:type="dxa"/>
            <w:vAlign w:val="bottom"/>
            <w:gridSpan w:val="2"/>
          </w:tcPr>
          <w:p>
            <w:pPr>
              <w:ind w:left="940"/>
              <w:spacing w:after="0"/>
              <w:rPr>
                <w:sz w:val="20"/>
                <w:szCs w:val="20"/>
                <w:color w:val="auto"/>
              </w:rPr>
            </w:pPr>
            <w:r>
              <w:rPr>
                <w:rFonts w:ascii="Courier New" w:cs="Courier New" w:eastAsia="Courier New" w:hAnsi="Courier New"/>
                <w:sz w:val="17"/>
                <w:szCs w:val="17"/>
                <w:color w:val="auto"/>
              </w:rPr>
              <w:t>Inventories  are  stated  at the  lower</w:t>
            </w:r>
          </w:p>
        </w:tc>
        <w:tc>
          <w:tcPr>
            <w:tcW w:w="10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of cost</w:t>
            </w:r>
          </w:p>
        </w:tc>
        <w:tc>
          <w:tcPr>
            <w:tcW w:w="13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(first-in,</w:t>
            </w:r>
          </w:p>
        </w:tc>
        <w:tc>
          <w:tcPr>
            <w:tcW w:w="980" w:type="dxa"/>
            <w:vAlign w:val="bottom"/>
          </w:tcPr>
          <w:p>
            <w:pPr>
              <w:ind w:left="40"/>
              <w:spacing w:after="0"/>
              <w:rPr>
                <w:sz w:val="20"/>
                <w:szCs w:val="20"/>
                <w:color w:val="auto"/>
              </w:rPr>
            </w:pPr>
            <w:r>
              <w:rPr>
                <w:rFonts w:ascii="Courier New" w:cs="Courier New" w:eastAsia="Courier New" w:hAnsi="Courier New"/>
                <w:sz w:val="17"/>
                <w:szCs w:val="17"/>
                <w:color w:val="auto"/>
              </w:rPr>
              <w:t>first-out</w:t>
            </w:r>
          </w:p>
        </w:tc>
      </w:tr>
      <w:tr>
        <w:trPr>
          <w:trHeight w:val="200"/>
        </w:trPr>
        <w:tc>
          <w:tcPr>
            <w:tcW w:w="6040" w:type="dxa"/>
            <w:vAlign w:val="bottom"/>
            <w:gridSpan w:val="3"/>
          </w:tcPr>
          <w:p>
            <w:pPr>
              <w:spacing w:after="0"/>
              <w:rPr>
                <w:sz w:val="20"/>
                <w:szCs w:val="20"/>
                <w:color w:val="auto"/>
              </w:rPr>
            </w:pPr>
            <w:r>
              <w:rPr>
                <w:rFonts w:ascii="Courier New" w:cs="Courier New" w:eastAsia="Courier New" w:hAnsi="Courier New"/>
                <w:sz w:val="17"/>
                <w:szCs w:val="17"/>
                <w:color w:val="auto"/>
              </w:rPr>
              <w:t>method) or market and consisted of the following:</w:t>
            </w: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00"/>
        </w:trPr>
        <w:tc>
          <w:tcPr>
            <w:tcW w:w="4320" w:type="dxa"/>
            <w:vAlign w:val="bottom"/>
          </w:tcPr>
          <w:p>
            <w:pPr>
              <w:spacing w:after="0"/>
              <w:rPr>
                <w:sz w:val="24"/>
                <w:szCs w:val="24"/>
                <w:color w:val="auto"/>
              </w:rPr>
            </w:pPr>
          </w:p>
        </w:tc>
        <w:tc>
          <w:tcPr>
            <w:tcW w:w="17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January 31,</w:t>
            </w: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w w:val="97"/>
              </w:rPr>
              <w:t>October</w:t>
            </w:r>
          </w:p>
        </w:tc>
        <w:tc>
          <w:tcPr>
            <w:tcW w:w="980" w:type="dxa"/>
            <w:vAlign w:val="bottom"/>
          </w:tcPr>
          <w:p>
            <w:pPr>
              <w:ind w:left="40"/>
              <w:spacing w:after="0"/>
              <w:rPr>
                <w:sz w:val="20"/>
                <w:szCs w:val="20"/>
                <w:color w:val="auto"/>
              </w:rPr>
            </w:pPr>
            <w:r>
              <w:rPr>
                <w:rFonts w:ascii="Courier New" w:cs="Courier New" w:eastAsia="Courier New" w:hAnsi="Courier New"/>
                <w:sz w:val="17"/>
                <w:szCs w:val="17"/>
                <w:color w:val="auto"/>
              </w:rPr>
              <w:t>31,</w:t>
            </w:r>
          </w:p>
        </w:tc>
      </w:tr>
      <w:tr>
        <w:trPr>
          <w:trHeight w:val="200"/>
        </w:trPr>
        <w:tc>
          <w:tcPr>
            <w:tcW w:w="4320" w:type="dxa"/>
            <w:vAlign w:val="bottom"/>
          </w:tcPr>
          <w:p>
            <w:pPr>
              <w:spacing w:after="0"/>
              <w:rPr>
                <w:sz w:val="17"/>
                <w:szCs w:val="17"/>
                <w:color w:val="auto"/>
              </w:rPr>
            </w:pPr>
          </w:p>
        </w:tc>
        <w:tc>
          <w:tcPr>
            <w:tcW w:w="172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1997</w:t>
            </w:r>
          </w:p>
        </w:tc>
        <w:tc>
          <w:tcPr>
            <w:tcW w:w="5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980" w:type="dxa"/>
            <w:vAlign w:val="bottom"/>
          </w:tcPr>
          <w:p>
            <w:pPr>
              <w:spacing w:after="0"/>
              <w:rPr>
                <w:sz w:val="17"/>
                <w:szCs w:val="17"/>
                <w:color w:val="auto"/>
              </w:rPr>
            </w:pPr>
          </w:p>
        </w:tc>
      </w:tr>
      <w:tr>
        <w:trPr>
          <w:trHeight w:val="200"/>
        </w:trPr>
        <w:tc>
          <w:tcPr>
            <w:tcW w:w="432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c>
          <w:tcPr>
            <w:tcW w:w="2280" w:type="dxa"/>
            <w:vAlign w:val="bottom"/>
            <w:gridSpan w:val="3"/>
          </w:tcPr>
          <w:p>
            <w:pPr>
              <w:ind w:left="400"/>
              <w:spacing w:after="0"/>
              <w:rPr>
                <w:sz w:val="20"/>
                <w:szCs w:val="20"/>
                <w:color w:val="auto"/>
              </w:rPr>
            </w:pPr>
            <w:r>
              <w:rPr>
                <w:rFonts w:ascii="Courier New" w:cs="Courier New" w:eastAsia="Courier New" w:hAnsi="Courier New"/>
                <w:sz w:val="17"/>
                <w:szCs w:val="17"/>
                <w:color w:val="auto"/>
              </w:rPr>
              <w:t>------------</w:t>
            </w:r>
          </w:p>
        </w:tc>
      </w:tr>
      <w:tr>
        <w:trPr>
          <w:trHeight w:val="200"/>
        </w:trPr>
        <w:tc>
          <w:tcPr>
            <w:tcW w:w="4320" w:type="dxa"/>
            <w:vAlign w:val="bottom"/>
          </w:tcPr>
          <w:p>
            <w:pPr>
              <w:ind w:left="120"/>
              <w:spacing w:after="0"/>
              <w:rPr>
                <w:sz w:val="20"/>
                <w:szCs w:val="20"/>
                <w:color w:val="auto"/>
              </w:rPr>
            </w:pPr>
            <w:r>
              <w:rPr>
                <w:rFonts w:ascii="Courier New" w:cs="Courier New" w:eastAsia="Courier New" w:hAnsi="Courier New"/>
                <w:sz w:val="17"/>
                <w:szCs w:val="17"/>
                <w:color w:val="auto"/>
              </w:rPr>
              <w:t>Raw materials..........................</w:t>
            </w:r>
          </w:p>
        </w:tc>
        <w:tc>
          <w:tcPr>
            <w:tcW w:w="68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653"/>
              <w:spacing w:after="0"/>
              <w:rPr>
                <w:sz w:val="20"/>
                <w:szCs w:val="20"/>
                <w:color w:val="auto"/>
              </w:rPr>
            </w:pPr>
            <w:r>
              <w:rPr>
                <w:rFonts w:ascii="Courier New" w:cs="Courier New" w:eastAsia="Courier New" w:hAnsi="Courier New"/>
                <w:sz w:val="17"/>
                <w:szCs w:val="17"/>
                <w:color w:val="auto"/>
                <w:w w:val="91"/>
              </w:rPr>
              <w:t>127</w:t>
            </w:r>
          </w:p>
        </w:tc>
        <w:tc>
          <w:tcPr>
            <w:tcW w:w="520" w:type="dxa"/>
            <w:vAlign w:val="bottom"/>
          </w:tcPr>
          <w:p>
            <w:pPr>
              <w:ind w:left="400"/>
              <w:spacing w:after="0"/>
              <w:rPr>
                <w:sz w:val="20"/>
                <w:szCs w:val="20"/>
                <w:color w:val="auto"/>
              </w:rPr>
            </w:pPr>
            <w:r>
              <w:rPr>
                <w:rFonts w:ascii="Courier New" w:cs="Courier New" w:eastAsia="Courier New" w:hAnsi="Courier New"/>
                <w:sz w:val="17"/>
                <w:szCs w:val="17"/>
                <w:color w:val="auto"/>
                <w:w w:val="97"/>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149</w:t>
            </w:r>
          </w:p>
        </w:tc>
        <w:tc>
          <w:tcPr>
            <w:tcW w:w="980" w:type="dxa"/>
            <w:vAlign w:val="bottom"/>
          </w:tcPr>
          <w:p>
            <w:pPr>
              <w:spacing w:after="0"/>
              <w:rPr>
                <w:sz w:val="17"/>
                <w:szCs w:val="17"/>
                <w:color w:val="auto"/>
              </w:rPr>
            </w:pPr>
          </w:p>
        </w:tc>
      </w:tr>
      <w:tr>
        <w:trPr>
          <w:trHeight w:val="200"/>
        </w:trPr>
        <w:tc>
          <w:tcPr>
            <w:tcW w:w="4320" w:type="dxa"/>
            <w:vAlign w:val="bottom"/>
          </w:tcPr>
          <w:p>
            <w:pPr>
              <w:ind w:left="120"/>
              <w:spacing w:after="0"/>
              <w:rPr>
                <w:sz w:val="20"/>
                <w:szCs w:val="20"/>
                <w:color w:val="auto"/>
              </w:rPr>
            </w:pPr>
            <w:r>
              <w:rPr>
                <w:rFonts w:ascii="Courier New" w:cs="Courier New" w:eastAsia="Courier New" w:hAnsi="Courier New"/>
                <w:sz w:val="17"/>
                <w:szCs w:val="17"/>
                <w:color w:val="auto"/>
              </w:rPr>
              <w:t>Work in process........................</w:t>
            </w:r>
          </w:p>
        </w:tc>
        <w:tc>
          <w:tcPr>
            <w:tcW w:w="680" w:type="dxa"/>
            <w:vAlign w:val="bottom"/>
          </w:tcPr>
          <w:p>
            <w:pPr>
              <w:spacing w:after="0"/>
              <w:rPr>
                <w:sz w:val="17"/>
                <w:szCs w:val="17"/>
                <w:color w:val="auto"/>
              </w:rPr>
            </w:pPr>
          </w:p>
        </w:tc>
        <w:tc>
          <w:tcPr>
            <w:tcW w:w="1040" w:type="dxa"/>
            <w:vAlign w:val="bottom"/>
          </w:tcPr>
          <w:p>
            <w:pPr>
              <w:jc w:val="right"/>
              <w:ind w:right="653"/>
              <w:spacing w:after="0"/>
              <w:rPr>
                <w:sz w:val="20"/>
                <w:szCs w:val="20"/>
                <w:color w:val="auto"/>
              </w:rPr>
            </w:pPr>
            <w:r>
              <w:rPr>
                <w:rFonts w:ascii="Courier New" w:cs="Courier New" w:eastAsia="Courier New" w:hAnsi="Courier New"/>
                <w:sz w:val="17"/>
                <w:szCs w:val="17"/>
                <w:color w:val="auto"/>
                <w:w w:val="91"/>
              </w:rPr>
              <w:t>218</w:t>
            </w:r>
          </w:p>
        </w:tc>
        <w:tc>
          <w:tcPr>
            <w:tcW w:w="5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245</w:t>
            </w:r>
          </w:p>
        </w:tc>
        <w:tc>
          <w:tcPr>
            <w:tcW w:w="980" w:type="dxa"/>
            <w:vAlign w:val="bottom"/>
          </w:tcPr>
          <w:p>
            <w:pPr>
              <w:spacing w:after="0"/>
              <w:rPr>
                <w:sz w:val="17"/>
                <w:szCs w:val="17"/>
                <w:color w:val="auto"/>
              </w:rPr>
            </w:pPr>
          </w:p>
        </w:tc>
      </w:tr>
      <w:tr>
        <w:trPr>
          <w:trHeight w:val="200"/>
        </w:trPr>
        <w:tc>
          <w:tcPr>
            <w:tcW w:w="4320" w:type="dxa"/>
            <w:vAlign w:val="bottom"/>
          </w:tcPr>
          <w:p>
            <w:pPr>
              <w:ind w:left="120"/>
              <w:spacing w:after="0"/>
              <w:rPr>
                <w:sz w:val="20"/>
                <w:szCs w:val="20"/>
                <w:color w:val="auto"/>
              </w:rPr>
            </w:pPr>
            <w:r>
              <w:rPr>
                <w:rFonts w:ascii="Courier New" w:cs="Courier New" w:eastAsia="Courier New" w:hAnsi="Courier New"/>
                <w:sz w:val="17"/>
                <w:szCs w:val="17"/>
                <w:color w:val="auto"/>
              </w:rPr>
              <w:t>Finished goods.........................</w:t>
            </w:r>
          </w:p>
        </w:tc>
        <w:tc>
          <w:tcPr>
            <w:tcW w:w="680" w:type="dxa"/>
            <w:vAlign w:val="bottom"/>
          </w:tcPr>
          <w:p>
            <w:pPr>
              <w:spacing w:after="0"/>
              <w:rPr>
                <w:sz w:val="17"/>
                <w:szCs w:val="17"/>
                <w:color w:val="auto"/>
              </w:rPr>
            </w:pPr>
          </w:p>
        </w:tc>
        <w:tc>
          <w:tcPr>
            <w:tcW w:w="1040" w:type="dxa"/>
            <w:vAlign w:val="bottom"/>
          </w:tcPr>
          <w:p>
            <w:pPr>
              <w:jc w:val="right"/>
              <w:ind w:right="653"/>
              <w:spacing w:after="0"/>
              <w:rPr>
                <w:sz w:val="20"/>
                <w:szCs w:val="20"/>
                <w:color w:val="auto"/>
              </w:rPr>
            </w:pPr>
            <w:r>
              <w:rPr>
                <w:rFonts w:ascii="Courier New" w:cs="Courier New" w:eastAsia="Courier New" w:hAnsi="Courier New"/>
                <w:sz w:val="17"/>
                <w:szCs w:val="17"/>
                <w:color w:val="auto"/>
                <w:w w:val="91"/>
              </w:rPr>
              <w:t>133</w:t>
            </w:r>
          </w:p>
        </w:tc>
        <w:tc>
          <w:tcPr>
            <w:tcW w:w="5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155</w:t>
            </w:r>
          </w:p>
        </w:tc>
        <w:tc>
          <w:tcPr>
            <w:tcW w:w="980" w:type="dxa"/>
            <w:vAlign w:val="bottom"/>
          </w:tcPr>
          <w:p>
            <w:pPr>
              <w:spacing w:after="0"/>
              <w:rPr>
                <w:sz w:val="17"/>
                <w:szCs w:val="17"/>
                <w:color w:val="auto"/>
              </w:rPr>
            </w:pPr>
          </w:p>
        </w:tc>
      </w:tr>
      <w:tr>
        <w:trPr>
          <w:trHeight w:val="200"/>
        </w:trPr>
        <w:tc>
          <w:tcPr>
            <w:tcW w:w="432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c>
          <w:tcPr>
            <w:tcW w:w="2280" w:type="dxa"/>
            <w:vAlign w:val="bottom"/>
            <w:gridSpan w:val="3"/>
          </w:tcPr>
          <w:p>
            <w:pPr>
              <w:ind w:left="400"/>
              <w:spacing w:after="0"/>
              <w:rPr>
                <w:sz w:val="20"/>
                <w:szCs w:val="20"/>
                <w:color w:val="auto"/>
              </w:rPr>
            </w:pPr>
            <w:r>
              <w:rPr>
                <w:rFonts w:ascii="Courier New" w:cs="Courier New" w:eastAsia="Courier New" w:hAnsi="Courier New"/>
                <w:sz w:val="17"/>
                <w:szCs w:val="17"/>
                <w:color w:val="auto"/>
              </w:rPr>
              <w:t>------------</w:t>
            </w:r>
          </w:p>
        </w:tc>
      </w:tr>
      <w:tr>
        <w:trPr>
          <w:trHeight w:val="200"/>
        </w:trPr>
        <w:tc>
          <w:tcPr>
            <w:tcW w:w="4320" w:type="dxa"/>
            <w:vAlign w:val="bottom"/>
          </w:tcPr>
          <w:p>
            <w:pPr>
              <w:spacing w:after="0"/>
              <w:rPr>
                <w:sz w:val="17"/>
                <w:szCs w:val="17"/>
                <w:color w:val="auto"/>
              </w:rPr>
            </w:pPr>
          </w:p>
        </w:tc>
        <w:tc>
          <w:tcPr>
            <w:tcW w:w="68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653"/>
              <w:spacing w:after="0"/>
              <w:rPr>
                <w:sz w:val="20"/>
                <w:szCs w:val="20"/>
                <w:color w:val="auto"/>
              </w:rPr>
            </w:pPr>
            <w:r>
              <w:rPr>
                <w:rFonts w:ascii="Courier New" w:cs="Courier New" w:eastAsia="Courier New" w:hAnsi="Courier New"/>
                <w:sz w:val="17"/>
                <w:szCs w:val="17"/>
                <w:color w:val="auto"/>
                <w:w w:val="91"/>
              </w:rPr>
              <w:t>478</w:t>
            </w:r>
          </w:p>
        </w:tc>
        <w:tc>
          <w:tcPr>
            <w:tcW w:w="520" w:type="dxa"/>
            <w:vAlign w:val="bottom"/>
          </w:tcPr>
          <w:p>
            <w:pPr>
              <w:ind w:left="400"/>
              <w:spacing w:after="0"/>
              <w:rPr>
                <w:sz w:val="20"/>
                <w:szCs w:val="20"/>
                <w:color w:val="auto"/>
              </w:rPr>
            </w:pPr>
            <w:r>
              <w:rPr>
                <w:rFonts w:ascii="Courier New" w:cs="Courier New" w:eastAsia="Courier New" w:hAnsi="Courier New"/>
                <w:sz w:val="17"/>
                <w:szCs w:val="17"/>
                <w:color w:val="auto"/>
                <w:w w:val="97"/>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549</w:t>
            </w:r>
          </w:p>
        </w:tc>
        <w:tc>
          <w:tcPr>
            <w:tcW w:w="980" w:type="dxa"/>
            <w:vAlign w:val="bottom"/>
          </w:tcPr>
          <w:p>
            <w:pPr>
              <w:spacing w:after="0"/>
              <w:rPr>
                <w:sz w:val="17"/>
                <w:szCs w:val="17"/>
                <w:color w:val="auto"/>
              </w:rPr>
            </w:pPr>
          </w:p>
        </w:tc>
      </w:tr>
      <w:tr>
        <w:trPr>
          <w:trHeight w:val="200"/>
        </w:trPr>
        <w:tc>
          <w:tcPr>
            <w:tcW w:w="432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c>
          <w:tcPr>
            <w:tcW w:w="2280" w:type="dxa"/>
            <w:vAlign w:val="bottom"/>
            <w:gridSpan w:val="3"/>
          </w:tcPr>
          <w:p>
            <w:pPr>
              <w:ind w:left="400"/>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left="520" w:hanging="513"/>
        <w:spacing w:after="0"/>
        <w:tabs>
          <w:tab w:leader="none" w:pos="5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Loss Per Share</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Net loss per share is computed using the weighted average number of common shares outstanding. Common equivalent shares are excluded from the computation as their effect is antidilutive. Supplemental per share data is provided to show the calculation on a consistent basis for the periods presented. It has been computed by giving retroactive effect from the date of issuance to the conversion of preferred stock and promissory notes which automatically converted to common shares upon the closing of the Company's initial public offering in February, 1996.</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1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Item 2.</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MANAGEMENT'S DISCUSSION AND ANALYSIS</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OF FINANCIAL CONDITION AND RESULTS OF OPERATIONS</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The following discussion should be read in conjunction with the unaudited consolidated financial statements and notes thereto included in Part I--Item 1 of this Form 10-Q and the audited consolidated financial statements and notes thereto and Management's Discussion and Analysis of Financial Condition and Results of Operations included in the Company's Annual Report on Form 10-K for the fiscal year ended October 31, 1996.</w:t>
      </w:r>
    </w:p>
    <w:p>
      <w:pPr>
        <w:spacing w:after="0" w:line="2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Except for the historical information contained herein, the matters discussed in this report are forward-looking statements that involve certain risks and uncertainties that could cause actual results to differ materially from those in the forward-looking statements. Potential risks and uncertainties include, without limitation, those mentioned in this report and, in particular the factors described below under "Additional Factors That May Affect Future Results," and those mentioned in the Company's Annual Report on Form 10-K for the fiscal year ended October 31, 1996.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Since its inception in October 1986, the Company has been primarily engaged in the research and development of its Intelimer(R) technology and related products. The Company launched its first product line, QuickCast(TM) splints and casts, in April 1994. The Company launched its second product line, Intellipac(TM) breathable membranes for the fresh-cut produce packaging market, in September 1995. To date, the Company has recognized $1,864,000 in total QuickCast product and Intellipac breathable membrane sales. The balance of revenues to date have resulted from license fees, collaborative arrangements and Small Business Innovative Research ("SBIR") government grants. The Company has been unprofitable since its inception and expects to incur additional losses, primarily due to the continuation of its research and development activities and expenditures necessary to further develop its manufacturing and marketing capabilities. From inception through January 31, 1997, the Company's accumulated deficit was $32,566,000.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Total revenues were $390,000 for the first quarter of fiscal year 1997 compared to $419,000 for the first quarter of fiscal year 1996. Revenues from product sales increased to $173,000 in the first quarter of fiscal year 1997 from $131,000 in the first quarter of fiscal year 1996 due primarily to the increased sales volumes of Intellipac breathable membrane products. Revenues from research and development funding decreased to $217,000 for the first quarter of fiscal year 1997 from $288,000 for the first quarter of fiscal year 1996 due to the discontinuation of revenue related to a modification of the Company's agreement with The BFGoodrich Company in March 1996.</w:t>
      </w:r>
    </w:p>
    <w:p>
      <w:pPr>
        <w:spacing w:after="0" w:line="2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Cost of product sales consists of material, labor and overhead. Cost of product sales was $309,000 for the first quarter of fiscal year 1997 compared to $244,000 for the first quarter of fiscal year 1996, an increase of 27%. Cost of product sales as a percentage of product sales decreased to 179% in the first quarter of fiscal year 1997 from 186% in the first quarter of fiscal year 1996. The decrease in the cost of product sales as a percentage of product sales was primarily the result of increased sales volumes of the Intellipac breathable membrane products. The Company experienced negative gross margins for its products sales due to the early stage of commercialization of the Company's products and related initial production costs. The Company anticipates that if revenues from product sales increase, gross margins should improve as the fixed portion of cost of product sales will be allocated over higher sales. Improvements in gross margins due to increased products sales, if any, may be offset in the future if the Company increases the fixed portion of cost of product sales. Due to the early stage of commercialization, however, the Company is unable to predict with any certainty future gross margins.</w:t>
      </w:r>
    </w:p>
    <w:p>
      <w:pPr>
        <w:spacing w:after="0" w:line="2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Research and development expenses were $916,000 for the first quarter of fiscal year 1997 compared to $953,000 for the first quarter of fiscal year 1996, a decrease of 4%. Research and development expenses decreased primarily as a result of decreased development costs in the Company's QuickCast products. In future periods, the</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914" w:right="1440" w:bottom="781" w:gutter="0" w:footer="0" w:header="0"/>
        </w:sectPr>
      </w:pPr>
    </w:p>
    <w:bookmarkStart w:id="7" w:name="page8"/>
    <w:bookmarkEnd w:id="7"/>
    <w:p>
      <w:pPr>
        <w:jc w:val="both"/>
        <w:ind w:right="1899"/>
        <w:spacing w:after="0" w:line="251" w:lineRule="auto"/>
        <w:rPr>
          <w:sz w:val="20"/>
          <w:szCs w:val="20"/>
          <w:color w:val="auto"/>
        </w:rPr>
      </w:pPr>
      <w:r>
        <w:rPr>
          <w:rFonts w:ascii="Courier New" w:cs="Courier New" w:eastAsia="Courier New" w:hAnsi="Courier New"/>
          <w:sz w:val="17"/>
          <w:szCs w:val="17"/>
          <w:color w:val="auto"/>
        </w:rPr>
        <w:t>Company expects that spending for research and development will increase in absolute dollars, although it may vary as a percentage of total revenues.</w:t>
      </w:r>
    </w:p>
    <w:p>
      <w:pPr>
        <w:spacing w:after="0" w:line="19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Selling, general and administrative expenses were $934,000 for the first quarter of fiscal year 1997 compared to $491,000 for the first quarter of fiscal year 1996, an increase of 90%. Selling, general and administrative expenses increased primarily as a result of increased sales and marketing expenses and the additional administrative costs associated with supporting a public company. Selling, general and administrative expenses consist primarily of sales and marketing expenses associated with the Company's product sales, business development and administrative expenses. Sales and marketing expenses increased to $536,000 for the first quarter of fiscal year 1997 from $205,000 for the first quarter of fiscal year 1996. The increase in sales and marketing expenses was attributable to the costs to support four national U.S. distributors for QuickCast products, including the creation of an internal sales department. The Company expects that selling, general and administrative spending will increase in absolute dollars in future periods, although it may vary as a percentage of total revenues.</w:t>
      </w:r>
    </w:p>
    <w:p>
      <w:pPr>
        <w:spacing w:after="0" w:line="2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Net interest income for the first quarter of fiscal year 1997 was $474,000 compared to $21,000 for the first quarter of fiscal year 1996. Net interest income increased due to interest income earned on the Company's initial public offering proceeds.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As of January 31, 1997 the Company had $34,799,000 of cash, cash equivalents and short-term investments. Cash used in operating activities increased $146,000 to $1,317,000 for the first quarter of fiscal year 1997 from $1,171,000 for the comparable period in fiscal year 1996. This increase in cash used in operations was due primarily to a decrease in current liabilities. During the first quarter of fiscal year 1997, the Company purchased seed processing equipment and incurred leasehold improvement expenditures to support Intellicoat's product development. These expenditures represented the majority of property and equipment purchases during the first quarter of fiscal year 1997. The Company believes that existing cash, cash equivalents and short-term investments, including the proceeds from the initial public offering, will be sufficient to finance its operational and capital requirements through at least the next twelve months. The Company's future capital requirements, however, depend on numerous factors, including the progress of its research and development programs; the development of commercial scale manufacturing capabilities; the development of marketing, sales and distribution capabilities; the ability of the Company to maintain existing collaborative arrangements and establish and maintain new collaborative arrangements; payments received under research and development agreements; the costs involved in preparing, filing, prosecuting, defending and enforcing intellectual property rights; complying with regulatory requirements; competing technological and market developments; the effectiveness of product commercialization activities and arrangements; and other factors. If the Company's currently available funds together with the internally generated cash flow are not sufficient to satisfy its financing needs, the Company would be required to seek additional funding through other arrangements with collaborative partners, bank borrowings and public or private sales of its securities. The Company has no credit facility or other committed sources of capital. There can be no assurance that additional funds, if required, will be available to the Company on favorable terms.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Factors That May Affect Future Results</w:t>
      </w:r>
    </w:p>
    <w:p>
      <w:pPr>
        <w:spacing w:after="0" w:line="20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The Company desires to take advantage of the "Safe Harbor" provisions of the Private Securities Litigation Reform Act of 1995. Specifically, the Company wishes to alert readers that the following important factors, as well as other factors, could in the future affect, and in the past have affected, the Company's actual results and could cause the Company's results for future quarters to differ materially from those expressed in any forward-looking statements made by or on behalf of the Company.</w:t>
      </w:r>
    </w:p>
    <w:p>
      <w:pPr>
        <w:spacing w:after="0" w:line="2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History of Operating Losses and Accumulated Deficit. The Company has incurred net losses in each year since its inception, including net losses of $1,295,000 and $1,248,000 during the first quarter of fiscal years 1997 and 1996, respectively, and the Company's accumulated deficit as of January 31, 1997 totaled $32,566,000. The</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15" w:right="1440" w:bottom="781" w:gutter="0" w:footer="0" w:header="0"/>
        </w:sectPr>
      </w:pPr>
    </w:p>
    <w:bookmarkStart w:id="8" w:name="page9"/>
    <w:bookmarkEnd w:id="8"/>
    <w:p>
      <w:pPr>
        <w:jc w:val="both"/>
        <w:ind w:right="1899"/>
        <w:spacing w:after="0" w:line="250" w:lineRule="auto"/>
        <w:rPr>
          <w:sz w:val="20"/>
          <w:szCs w:val="20"/>
          <w:color w:val="auto"/>
        </w:rPr>
      </w:pPr>
      <w:r>
        <w:rPr>
          <w:rFonts w:ascii="Courier New" w:cs="Courier New" w:eastAsia="Courier New" w:hAnsi="Courier New"/>
          <w:sz w:val="17"/>
          <w:szCs w:val="17"/>
          <w:color w:val="auto"/>
        </w:rPr>
        <w:t>Company expects to incur additional losses for the foreseeable future. The amount of future net losses and time required by the Company to reach profitability are highly uncertain.</w:t>
      </w:r>
    </w:p>
    <w:p>
      <w:pPr>
        <w:spacing w:after="0" w:line="19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Early Commercialization; Dependence on New Products and Technologies; Uncertainty of Market Acceptance. While the Company recently commenced marketing certain of its products, it is in the early stage of product commercialization and many of its potential products are in development. The Company believes that its future success will depend in large part on its ability to develop and market new products in its target markets and in new markets. In particular, the Company expects that its ability to compete effectively with existing industrial, food packaging, medical and agricultural companies will depend substantially on successfully developing, commercializing, achieving market acceptance of and reducing the cost of producing the Company's products. In addition, commercial applications of the Company's temperature switch polymer technology are relatively new and evolving. There can be no assurance that the Company will be able to successfully develop, commercialize, achieve market acceptance of or reduce the cost of producing the Company's products, or that the Company's competitors will not develop competing technologies that are less expensive or otherwise superior to those of the Company. There can be no assurance that the Company will be able to develop and introduce new products and technologies in a timely manner or that new products and technologies will gain market acceptance. The failure to develop and market successfully new products could have a material adverse effect on the Company's business, operating results and financial condition.</w:t>
      </w:r>
    </w:p>
    <w:p>
      <w:pPr>
        <w:spacing w:after="0" w:line="2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The success of the Company in generating significant sales of its products will depend in part on the ability of the Company and its partners to achieve market acceptance of the Company's products and technology. The extent to which, and rate at which, market acceptance and penetration are achieved by the Company's current and future products is a function of many variables including, but not limited to, price, safety, efficacy, reliability, conversion costs and marketing and sales efforts, as well as general economic conditions affecting purchasing patterns. There can be no assurance that markets for the Company's products will develop or that the Company's products and technology will be accepted and adopted. The failure of the Company's products to achieve market acceptance could have a material adverse effect on the Company's business, operating results and financial condition.</w:t>
      </w:r>
    </w:p>
    <w:p>
      <w:pPr>
        <w:spacing w:after="0" w:line="2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Dependence on Collaborative Partners. The Company's strategy for the development, clinical and field testing, manufacturing, commercialization and marketing of certain of its current and future products includes entering into various collaborations with corporate partners, licensees and others. To date, the Company has entered into collaborative arrangements with The BFGoodrich Company and Hitachi Chemical Co., Ltd. ("Hitachi") in connection with its Intelimer polymer systems, Fresh Express Farms and PrintPack, Inc. in connection with its Intellipac breathable membrane products, Nitta Corporation ("Nitta") and Hitachi in connection with its industrial adhesive products and Smith &amp; Nephew Medical Limited ("Smith &amp; Nephew"), Physician Sales and Services, Inc., North Coast Medical, Inc. and Sammons Preston, Inc. in connection with its QuickCast orthopedic products. The Company is dependent on its corporate partners to develop, test, manufacture and/or market certain of its products. Although the Company believes that its partners in these collaborations have an economic motivation to succeed in performing their contractual responsibilities, the amount and timing of resources to be devoted to these activities are not within the control of the Company. A significant portion of Landec's revenues to date have been derived from commercial research and development collaborations and license agreements. In the first quarter of fiscal year 1997, development funding from these collaborative arrangements comprised approximately 56% of the Company's total revenues. Development funding from Hitachi and Nitta represented approximately 48% of the Company's revenues for the first quarter of fiscal year 1997. There can be no assurance that such partners will perform their obligations as expected or that the Company will derive any additional revenue from such arrangements. There can be no assurance that the Company's partners will pay any additional option or license fees to the Company or that they will develop and market any products under the agreements. Moreover, certain of the collaborative agreements provide that they may be terminated at the discretion of the corporate partner, and certain of the collaborative agreements provide for termination under certain circumstances.</w:t>
      </w:r>
    </w:p>
    <w:p>
      <w:pPr>
        <w:spacing w:after="0" w:line="200" w:lineRule="exact"/>
        <w:rPr>
          <w:sz w:val="20"/>
          <w:szCs w:val="20"/>
          <w:color w:val="auto"/>
        </w:rPr>
      </w:pPr>
    </w:p>
    <w:p>
      <w:pPr>
        <w:jc w:val="both"/>
        <w:ind w:right="1899" w:firstLine="935"/>
        <w:spacing w:after="0" w:line="250" w:lineRule="auto"/>
        <w:rPr>
          <w:sz w:val="20"/>
          <w:szCs w:val="20"/>
          <w:color w:val="auto"/>
        </w:rPr>
      </w:pPr>
      <w:r>
        <w:rPr>
          <w:rFonts w:ascii="Courier New" w:cs="Courier New" w:eastAsia="Courier New" w:hAnsi="Courier New"/>
          <w:sz w:val="17"/>
          <w:szCs w:val="17"/>
          <w:color w:val="auto"/>
        </w:rPr>
        <w:t>The Company anticipates that it will terminate its relationship with Smith &amp; Nephew during the second quarter of fiscal year 1997 for the sales and distribution of QuickCast products in certain European and Pacific</w:t>
      </w:r>
    </w:p>
    <w:p>
      <w:pPr>
        <w:spacing w:after="0" w:line="19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15" w:right="1440" w:bottom="582" w:gutter="0" w:footer="0" w:header="0"/>
        </w:sectPr>
      </w:pPr>
    </w:p>
    <w:bookmarkStart w:id="9" w:name="page10"/>
    <w:bookmarkEnd w:id="9"/>
    <w:p>
      <w:pPr>
        <w:jc w:val="both"/>
        <w:ind w:right="1899"/>
        <w:spacing w:after="0" w:line="250" w:lineRule="auto"/>
        <w:rPr>
          <w:sz w:val="20"/>
          <w:szCs w:val="20"/>
          <w:color w:val="auto"/>
        </w:rPr>
      </w:pPr>
      <w:r>
        <w:rPr>
          <w:rFonts w:ascii="Courier New" w:cs="Courier New" w:eastAsia="Courier New" w:hAnsi="Courier New"/>
          <w:sz w:val="17"/>
          <w:szCs w:val="17"/>
          <w:color w:val="auto"/>
        </w:rPr>
        <w:t>Rim countries, Canada and South Africa, and, as a result, the Company is currently in the process of initiating distribution relationships with other independent distributors in selected countries.</w:t>
      </w:r>
    </w:p>
    <w:p>
      <w:pPr>
        <w:spacing w:after="0" w:line="19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There can be no assurance that the partners will not pursue existing or alternative technologies in preference to the Company's technology. Furthermore, there can be no assurance that the Company will be able to negotiate additional collaborative arrangements in the future on acceptable terms, if at all, or that such collaborative arrangements will be successful. To the extent that the Company chooses not to or is unable to establish such arrangements, it would experience increased capital requirements to undertake research, development, manufacture, marketing or sale of its current and future products in such markets. There can be no assurance that the Company will be able to independently develop, manufacture, market, or sell its current and future products in the absence of such collaborative agreements.</w:t>
      </w:r>
    </w:p>
    <w:p>
      <w:pPr>
        <w:spacing w:after="0" w:line="2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Competition and Technological Change. The Company operates in highly competitive and rapidly evolving fields, and new developments are expected to continue at a rapid pace. Competition from large industrial, food packaging, medical and agricultural companies is expected to be intense. In addition, the nature of the Company's collaborative arrangements may result in its corporate partners becoming competitors of the Company. Many of these competitors have substantially greater financial and technical resources and production and marketing capabilities than the Company, and may have substantially greater experience in conducting clinical and field trials, obtaining regulatory approvals and manufacturing and marketing commercial products. There can be no assurance that these competitors will not succeed in developing alternative technologies and products that are more effective, easier to use or less expensive than those which have been or are being developed by the Company or that would render the Company's technology and products obsolete and non-competitive.</w:t>
      </w:r>
    </w:p>
    <w:p>
      <w:pPr>
        <w:spacing w:after="0" w:line="200" w:lineRule="exact"/>
        <w:rPr>
          <w:sz w:val="20"/>
          <w:szCs w:val="20"/>
          <w:color w:val="auto"/>
        </w:rPr>
      </w:pPr>
    </w:p>
    <w:p>
      <w:pPr>
        <w:jc w:val="both"/>
        <w:ind w:right="1899" w:firstLine="935"/>
        <w:spacing w:after="0" w:line="248" w:lineRule="auto"/>
        <w:rPr>
          <w:sz w:val="20"/>
          <w:szCs w:val="20"/>
          <w:color w:val="auto"/>
        </w:rPr>
      </w:pPr>
      <w:r>
        <w:rPr>
          <w:rFonts w:ascii="Courier New" w:cs="Courier New" w:eastAsia="Courier New" w:hAnsi="Courier New"/>
          <w:sz w:val="17"/>
          <w:szCs w:val="17"/>
          <w:color w:val="auto"/>
        </w:rPr>
        <w:t>Limited Manufacturing Experience; Dependence on Third Parties. The Company's success is dependent in part upon its ability to manufacture its products in commercial quantities in compliance with regulatory requirements and at acceptable costs. There can be no assurance that the Company will be able to achieve this. The Company has experienced negative gross margins for its product sales to date. The Company intends to build or acquire large-scale polymer</w:t>
      </w:r>
    </w:p>
    <w:p>
      <w:pPr>
        <w:spacing w:after="0" w:line="5"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manufacturing and formulations facilities by 1998. Production in commercial-scale quantities may involve technical challenges for the Company. Establishing its own manufacturing capabilities would require significant scale-up expenses and additions to facilities and personnel. The Company may also consider seeking collaborative arrangements with other companies to manufacture certain of its products. If the Company is dependent upon third parties for the manufacture of its products, then the Company's profit margins and its ability to develop and deliver such products on a timely basis may be adversely affected. Moreover, there can be no assurance that such parties will adequately perform and any failures by third parties may delay the submission of products for regulatory approval, impair the Company's ability to deliver products on a timely basis, or otherwise impair the Company's competitive position. The occurrence of any of these factors could have a material adverse effect on the Company's business, operating results and financial condition. The manufacture of the Company's products will be subject to periodic inspection by regulatory authorities. There can be no assurance that the Company will be able to obtain necessary regulatory approvals on a timely basis or at all. Delays in receipt of or failure to receive such approvals or loss of previously received approvals would have a material adverse effect on the Company's business, financial condition and results of operations.</w:t>
      </w:r>
    </w:p>
    <w:p>
      <w:pPr>
        <w:spacing w:after="0" w:line="2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Dependence on Single Source Suppliers. Many of the raw materials used in manufacturing certain of the Company's products are currently purchased from a single source, including certain monomers used to synthesize Intelimer polymers and substrate materials for the Company's breathable membrane products. Upon manufacturing scale-up, the Company may enter into alternative supply arrangements. Although to date the Company has not experienced difficulty acquiring materials for the manufacture of its products, no assurance can be given that interruptions in supplies will not occur in the future, that the Company will be able to obtain substitute vendors, or that the Company will be able to procure comparable materials at similar prices and terms within a reasonable time. Any such interruption of supply could have a material adverse effect on the Company's ability to manufacture its products and, consequently, could materially and adversely affect the Company's business, operating results and financial condition.</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15" w:right="1440" w:bottom="382" w:gutter="0" w:footer="0" w:header="0"/>
        </w:sectPr>
      </w:pPr>
    </w:p>
    <w:bookmarkStart w:id="10" w:name="page11"/>
    <w:bookmarkEnd w:id="10"/>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Patents and Proprietary Rights. The Company's success depends in large part on its ability to obtain patents, maintain trade secret protection and operate without infringing on the proprietary rights of third parties. There can be no assurance that any pending patent applications will be approved, that the Company will develop additional proprietary products that are patentable, that any patents issued to the Company will provide the Company with competitive advantages or will not be challenged by any third parties or that the patents of others will not prevent the commercialization of products incorporating the Company's technology. The Company has received, and may in the future receive, from third parties, including some of its competitors, notices claiming that it is infringing third party patents or other proprietary rights. For example, the Company recently received a letter alleging that the Company's breathable membrane product infringes patents of another party. The Company has investigated this matter and believes that its breathable membrane product does not infringe the specified patents of such party. The Company has received an opinion of patent counsel that the breathable membrane product does not infringe any valid claims of such patents. If the Company were determined to be infringing any third-party patent, the Company could be required to pay damages, alter its products or processes, obtain licenses or cease certain activities. If the Company is required to obtain any licenses, there can be no assurance that the Company will be able to do so on commercially favorable terms, if at all. Litigation, which could result in substantial costs to and diversion of effort by the Company, may also be necessary to enforce any patents issued or licensed to the Company or to determine the scope and validity of third-party proprietary rights. Any such litigation or interference proceeding, regardless of outcome, could be expensive and time consuming and could subject the Company to significant liabilities to third parties, require disputed rights to be licensed from third parties or require the Company to cease using such technology and, consequently, could have a material adverse effect on the Company's business, operating results and financial condition.</w:t>
      </w:r>
    </w:p>
    <w:p>
      <w:pPr>
        <w:spacing w:after="0" w:line="2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Government Regulation. The Company's products and operations are subject to substantial regulation in the United States and foreign countries. Although Landec believes that it will be able to comply with all applicable regulations regarding the manufacture and sale of its products and polymer materials, such regulations are always subject to change and depend heavily on administrative interpretations and the country in which the products are sold. There can be no assurance that future changes in regulations or interpretations relating to such matters as safe working conditions, laboratory and manufacturing practices, environmental controls, and disposal of hazardous or potentially hazardous substances will not adversely effect the Company's business. There can be no assurance that the Company will not be required to incur significant costs to comply with such laws and regulations in the future, or that such laws or regulations will not have a material adverse effect on the Company's business, operating results and financial condition. Failure to comply with the applicable regulatory requirements can, among other things, result in fines, injunctions, civil penalties, suspensions or withdrawal of regulatory approvals, product recalls, product seizures, including cessation of manufacturing and sales, operating restrictions and criminal prosecution.</w:t>
      </w:r>
    </w:p>
    <w:p>
      <w:pPr>
        <w:spacing w:after="0" w:line="2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Limited Sales or Marketing Experience. The Company has only limited experience marketing and selling its products. While the Company intends to distribute certain of its products through its corporate partners and other distributors, the Company intends to sell certain other products through a direct sales force. Establishing sufficient marketing and sales capability may require significant resources. There can be no assurance that the Company will be able to recruit and retain skilled sales management, direct salespersons or distributors, or that the Company's sales efforts will be successful. The Company is currently in the process of changing its distribution approach with respect to the QuickCast product line in the United States to include several national distributors. To the extent that the Company enters into distribution arrangements for the sale of its products, the Company will be dependent on the efforts of third parties. There can be no assurance that such efforts will be successful.</w:t>
      </w:r>
    </w:p>
    <w:p>
      <w:pPr>
        <w:spacing w:after="0" w:line="2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International Operations and Sales. In the first quarter of the fiscal years 1997 and 1996, approximately 51% and 46% of the Company's total revenues were derived from product sales to and collaborative agreements with international customers, and the Company expects that international revenues will continue to account for a significant portion of its total revenues. A number of risks are inherent in international transactions. International sales and operations may be limited or disrupted by the regulatory approval process, government controls, export license requirements, political instability, price controls, trade restrictions, changes in tariffs or difficulties in staffing and managing international operations. Foreign regulatory agencies have or may establish product standards different from those in the United States, and any inability to obtain foreign regulatory approvals on a</w:t>
      </w:r>
    </w:p>
    <w:p>
      <w:pPr>
        <w:sectPr>
          <w:pgSz w:w="11900" w:h="16838" w:orient="portrait"/>
          <w:cols w:equalWidth="0" w:num="1">
            <w:col w:w="10219"/>
          </w:cols>
          <w:pgMar w:left="240" w:top="715" w:right="1440" w:bottom="175" w:gutter="0" w:footer="0" w:header="0"/>
        </w:sectPr>
      </w:pPr>
    </w:p>
    <w:bookmarkStart w:id="11" w:name="page12"/>
    <w:bookmarkEnd w:id="11"/>
    <w:p>
      <w:pPr>
        <w:ind w:left="276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9019"/>
          </w:cols>
          <w:pgMar w:left="1440" w:top="142" w:right="1440" w:bottom="1440" w:gutter="0" w:footer="0" w:header="0"/>
        </w:sectPr>
      </w:pPr>
    </w:p>
    <w:bookmarkStart w:id="12" w:name="page13"/>
    <w:bookmarkEnd w:id="12"/>
    <w:p>
      <w:pPr>
        <w:jc w:val="both"/>
        <w:ind w:right="1899"/>
        <w:spacing w:after="0" w:line="249" w:lineRule="auto"/>
        <w:rPr>
          <w:sz w:val="20"/>
          <w:szCs w:val="20"/>
          <w:color w:val="auto"/>
        </w:rPr>
      </w:pPr>
      <w:r>
        <w:rPr>
          <w:rFonts w:ascii="Courier New" w:cs="Courier New" w:eastAsia="Courier New" w:hAnsi="Courier New"/>
          <w:sz w:val="17"/>
          <w:szCs w:val="17"/>
          <w:color w:val="auto"/>
        </w:rPr>
        <w:t>timely basis could have an adverse effect on the Company's international business and its financial condition and results of operations. While the Company's foreign sales are priced in dollars, fluctuations in currency exchange rates may reduce the demand for the Company's products by increasing the price of the Company's products in the currency of the countries to which the products are sold. There can be no assurance that regulatory, geopolitical and other factors will not adversely impact the Company's operations in the future or require the Company to modify its current business practices.</w:t>
      </w:r>
    </w:p>
    <w:p>
      <w:pPr>
        <w:spacing w:after="0" w:line="2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Quarterly Fluctuations in Operating Results. The Company's results of operations have varied significantly from quarter to quarter. Quarterly operating results will depend upon several factors, including the timing and amount of expenses associated with expanding the Company's operations, the timing of collaborative agreements with, and performance of, potential partners, the timing of regulatory approvals and new product introductions, the mix between pilot production of new products and full-scale manufacturing of existing products and the mix between domestic and export sales. In addition, the Company cannot predict rates of licensing fees and royalties received from its partners or ordering rates by its distributors, some of which place infrequent stocking orders, while others order at regular intervals. As a result of these and other factors, the Company expects to continue to experience significant fluctuations in quarterly operating results, and there can be no assurance that the Company will become or remain consistently profitable in the future.</w:t>
      </w:r>
    </w:p>
    <w:p>
      <w:pPr>
        <w:spacing w:after="0" w:line="4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Product Liability Exposure and Availability of Insurance. The testing, manufacturing, marketing, and sale of the products being developed by the Company involve an inherent risk of allegations of product liability. While no product liability claims have been made against the Company to date, if any such claims were made and adverse judgments obtained, they could have a material adverse effect on the Company's business, financial condition and results of operations. Although the Company has taken and intends to continue to take what it believes are appropriate precautions to minimize exposure to product liability claims, there can be no assurance that it will avoid significant liability. The Company currently maintains medical product liability insurance in the minimum amount of $2.0 million per occurrence with a minimum annual aggregate limit of $2.0 million and non-medical product liability insurance in the minimum amount of $5.0 million per occurrence with a minimum annual aggregate limit of $5.0 million. There can be no assurance that such coverage is adequate or will continue to be available at an acceptable cost, if at all. A product liability claim, product recall or other claim with respect to uninsured liabilities or in excess of insured liabilities could have a material adverse effect on the Company's business, operating results and financial condition.</w:t>
      </w:r>
    </w:p>
    <w:p>
      <w:pPr>
        <w:spacing w:after="0" w:line="200"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No Prior Public Market; Possible Volatility of Stock Price. Factors such as announcements of technological innovations, the attainment of (or failure to attain) milestones in the commercialization of the Company's technology, new products, new patents or changes in existing patents, or development of new, collaborative arrangements by the Company, its competitors or other parties, as well as government regulations, investor perception of the Company, fluctuations in the Company's operating results and general market conditions in the industry may cause the market price of the Company's Common Stock to fluctuate significantly. In addition, the stock market in general has recently experienced extreme price and volume fluctuations, which have particularly affected the market prices of technology companies and which have often been unrelated to the operating performance of such companies. These broad fluctuations may adversely effect the market price of the Company's Common Stock.</w:t>
      </w:r>
    </w:p>
    <w:p>
      <w:pPr>
        <w:spacing w:after="0" w:line="200" w:lineRule="exact"/>
        <w:rPr>
          <w:sz w:val="20"/>
          <w:szCs w:val="20"/>
          <w:color w:val="auto"/>
        </w:rPr>
      </w:pPr>
    </w:p>
    <w:p>
      <w:pPr>
        <w:spacing w:after="0" w:line="399"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15" w:right="1440" w:bottom="1440" w:gutter="0" w:footer="0" w:header="0"/>
        </w:sectPr>
      </w:pPr>
    </w:p>
    <w:bookmarkStart w:id="13" w:name="page14"/>
    <w:bookmarkEnd w:id="13"/>
    <w:p>
      <w:pPr>
        <w:ind w:left="2820"/>
        <w:spacing w:after="0"/>
        <w:rPr>
          <w:sz w:val="20"/>
          <w:szCs w:val="20"/>
          <w:color w:val="auto"/>
        </w:rPr>
      </w:pPr>
      <w:r>
        <w:rPr>
          <w:rFonts w:ascii="Courier New" w:cs="Courier New" w:eastAsia="Courier New" w:hAnsi="Courier New"/>
          <w:sz w:val="17"/>
          <w:szCs w:val="17"/>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1.</w:t>
        <w:tab/>
        <w:t>Legal Proceedings</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None.</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2.</w:t>
        <w:tab/>
        <w:t>Changes in Securities</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None.</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3.</w:t>
        <w:tab/>
        <w:t>Defaults in Senior Securities</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None.</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4.</w:t>
        <w:tab/>
        <w:t>Submission of Matters to a Vote of Security Holders</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None.</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5.</w:t>
        <w:tab/>
        <w:t>Other Information</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None.</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6.</w:t>
        <w:tab/>
        <w:t>Exhibits and Reports on Form 8-K</w:t>
      </w:r>
    </w:p>
    <w:p>
      <w:pPr>
        <w:spacing w:after="0" w:line="207" w:lineRule="exact"/>
        <w:rPr>
          <w:sz w:val="20"/>
          <w:szCs w:val="20"/>
          <w:color w:val="auto"/>
        </w:rPr>
      </w:pPr>
    </w:p>
    <w:p>
      <w:pPr>
        <w:ind w:left="1880" w:hanging="938"/>
        <w:spacing w:after="0"/>
        <w:tabs>
          <w:tab w:leader="none" w:pos="188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207" w:lineRule="exact"/>
        <w:rPr>
          <w:rFonts w:ascii="Courier New" w:cs="Courier New" w:eastAsia="Courier New" w:hAnsi="Courier New"/>
          <w:sz w:val="17"/>
          <w:szCs w:val="17"/>
          <w:color w:val="auto"/>
        </w:rPr>
      </w:pPr>
    </w:p>
    <w:p>
      <w:pPr>
        <w:ind w:left="2820" w:right="1899" w:hanging="935"/>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11.1Computation of loss per share (See Note 3 to Financial Statements in Part I of this Form 10-Q.</w:t>
      </w:r>
    </w:p>
    <w:p>
      <w:pPr>
        <w:spacing w:after="0" w:line="196" w:lineRule="exact"/>
        <w:rPr>
          <w:rFonts w:ascii="Courier New" w:cs="Courier New" w:eastAsia="Courier New" w:hAnsi="Courier New"/>
          <w:sz w:val="17"/>
          <w:szCs w:val="17"/>
          <w:color w:val="auto"/>
        </w:rPr>
      </w:pPr>
    </w:p>
    <w:p>
      <w:pPr>
        <w:ind w:left="18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27.1Financial Data Schedule</w:t>
      </w:r>
    </w:p>
    <w:p>
      <w:pPr>
        <w:spacing w:after="0" w:line="207" w:lineRule="exact"/>
        <w:rPr>
          <w:rFonts w:ascii="Courier New" w:cs="Courier New" w:eastAsia="Courier New" w:hAnsi="Courier New"/>
          <w:sz w:val="17"/>
          <w:szCs w:val="17"/>
          <w:color w:val="auto"/>
        </w:rPr>
      </w:pPr>
    </w:p>
    <w:p>
      <w:pPr>
        <w:ind w:left="1880" w:right="6259" w:hanging="938"/>
        <w:spacing w:after="0" w:line="500" w:lineRule="auto"/>
        <w:tabs>
          <w:tab w:leader="none" w:pos="188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 None.</w:t>
      </w:r>
    </w:p>
    <w:p>
      <w:pPr>
        <w:spacing w:after="0" w:line="396"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15" w:right="1440" w:bottom="1440" w:gutter="0" w:footer="0" w:header="0"/>
        </w:sectPr>
      </w:pPr>
    </w:p>
    <w:bookmarkStart w:id="14" w:name="page15"/>
    <w:bookmarkEnd w:id="14"/>
    <w:p>
      <w:pPr>
        <w:ind w:left="364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207" w:lineRule="exact"/>
        <w:rPr>
          <w:sz w:val="20"/>
          <w:szCs w:val="20"/>
          <w:color w:val="auto"/>
        </w:rPr>
      </w:pPr>
    </w:p>
    <w:p>
      <w:pPr>
        <w:jc w:val="both"/>
        <w:ind w:right="1899" w:firstLine="935"/>
        <w:spacing w:after="0" w:line="250"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LANDEC CORPORATION</w:t>
      </w:r>
    </w:p>
    <w:p>
      <w:pPr>
        <w:spacing w:after="0" w:line="200" w:lineRule="exact"/>
        <w:rPr>
          <w:sz w:val="20"/>
          <w:szCs w:val="20"/>
          <w:color w:val="auto"/>
        </w:rPr>
      </w:pPr>
    </w:p>
    <w:p>
      <w:pPr>
        <w:spacing w:after="0" w:line="207" w:lineRule="exact"/>
        <w:rPr>
          <w:sz w:val="20"/>
          <w:szCs w:val="20"/>
          <w:color w:val="auto"/>
        </w:rPr>
      </w:pPr>
    </w:p>
    <w:p>
      <w:pPr>
        <w:ind w:left="3220"/>
        <w:spacing w:after="0"/>
        <w:tabs>
          <w:tab w:leader="none" w:pos="4980" w:val="left"/>
        </w:tabs>
        <w:rPr>
          <w:sz w:val="20"/>
          <w:szCs w:val="20"/>
          <w:color w:val="auto"/>
        </w:rPr>
      </w:pPr>
      <w:r>
        <w:rPr>
          <w:rFonts w:ascii="Courier New" w:cs="Courier New" w:eastAsia="Courier New" w:hAnsi="Courier New"/>
          <w:sz w:val="17"/>
          <w:szCs w:val="17"/>
          <w:color w:val="auto"/>
        </w:rPr>
        <w:t>By:/s/</w:t>
      </w:r>
      <w:r>
        <w:rPr>
          <w:sz w:val="20"/>
          <w:szCs w:val="20"/>
          <w:color w:val="auto"/>
        </w:rPr>
        <w:tab/>
      </w:r>
      <w:r>
        <w:rPr>
          <w:rFonts w:ascii="Courier New" w:cs="Courier New" w:eastAsia="Courier New" w:hAnsi="Courier New"/>
          <w:sz w:val="17"/>
          <w:szCs w:val="17"/>
          <w:color w:val="auto"/>
        </w:rPr>
        <w:t>JOY T. FRY</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Joy T. Fry</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Vice President, Finance and Administration</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and Chief Financial Officer</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(Duly Authorized and Principal Financial</w:t>
      </w:r>
    </w:p>
    <w:p>
      <w:pPr>
        <w:spacing w:after="0" w:line="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and Accounting Officer)</w:t>
      </w:r>
    </w:p>
    <w:p>
      <w:pPr>
        <w:spacing w:after="0" w:line="200" w:lineRule="exact"/>
        <w:rPr>
          <w:sz w:val="20"/>
          <w:szCs w:val="20"/>
          <w:color w:val="auto"/>
        </w:rPr>
      </w:pP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7"/>
          <w:szCs w:val="17"/>
          <w:color w:val="auto"/>
        </w:rPr>
        <w:t>March 7, 1997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15" w:right="1440" w:bottom="1440" w:gutter="0" w:footer="0" w:header="0"/>
        </w:sectPr>
      </w:pPr>
    </w:p>
    <w:bookmarkStart w:id="15" w:name="page16"/>
    <w:bookmarkEnd w:id="15"/>
    <w:p>
      <w:pPr>
        <w:ind w:left="3220"/>
        <w:spacing w:after="0"/>
        <w:rPr>
          <w:sz w:val="20"/>
          <w:szCs w:val="20"/>
          <w:color w:val="auto"/>
        </w:rPr>
      </w:pPr>
      <w:r>
        <w:rPr>
          <w:rFonts w:ascii="Courier New" w:cs="Courier New" w:eastAsia="Courier New" w:hAnsi="Courier New"/>
          <w:sz w:val="17"/>
          <w:szCs w:val="17"/>
          <w:color w:val="auto"/>
        </w:rPr>
        <w:t>LANDEC CORPORATION</w:t>
      </w: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INDEX TO EXHIBITS</w:t>
      </w:r>
    </w:p>
    <w:p>
      <w:pPr>
        <w:sectPr>
          <w:pgSz w:w="11900" w:h="16838" w:orient="portrait"/>
          <w:cols w:equalWidth="0" w:num="1">
            <w:col w:w="10219"/>
          </w:cols>
          <w:pgMar w:left="240" w:top="715"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Sequentially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Numbered Page</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3">
            <w:col w:w="2100" w:space="720"/>
            <w:col w:w="3420" w:space="720"/>
            <w:col w:w="3259"/>
          </w:cols>
          <w:pgMar w:left="240" w:top="715" w:right="1440" w:bottom="1440" w:gutter="0" w:footer="0" w:header="0"/>
          <w:type w:val="continuous"/>
        </w:sectPr>
      </w:pPr>
    </w:p>
    <w:p>
      <w:pPr>
        <w:spacing w:after="0" w:line="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11.1</w:t>
      </w:r>
      <w:r>
        <w:rPr>
          <w:sz w:val="20"/>
          <w:szCs w:val="20"/>
          <w:color w:val="auto"/>
        </w:rPr>
        <w:tab/>
      </w:r>
      <w:r>
        <w:rPr>
          <w:rFonts w:ascii="Courier New" w:cs="Courier New" w:eastAsia="Courier New" w:hAnsi="Courier New"/>
          <w:sz w:val="17"/>
          <w:szCs w:val="17"/>
          <w:color w:val="auto"/>
        </w:rPr>
        <w:t>Statement Regarding Computation of Net Loss Per Share</w:t>
      </w:r>
    </w:p>
    <w:p>
      <w:pPr>
        <w:spacing w:after="0" w:line="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27.1</w:t>
      </w:r>
      <w:r>
        <w:rPr>
          <w:sz w:val="20"/>
          <w:szCs w:val="20"/>
          <w:color w:val="auto"/>
        </w:rPr>
        <w:tab/>
      </w:r>
      <w:r>
        <w:rPr>
          <w:rFonts w:ascii="Courier New" w:cs="Courier New" w:eastAsia="Courier New" w:hAnsi="Courier New"/>
          <w:sz w:val="17"/>
          <w:szCs w:val="17"/>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16</w:t>
      </w:r>
    </w:p>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w:t>
      </w:r>
    </w:p>
    <w:p>
      <w:pPr>
        <w:spacing w:after="0" w:line="211" w:lineRule="exact"/>
        <w:rPr>
          <w:sz w:val="20"/>
          <w:szCs w:val="20"/>
          <w:color w:val="auto"/>
        </w:rPr>
      </w:pPr>
    </w:p>
    <w:p>
      <w:pPr>
        <w:sectPr>
          <w:pgSz w:w="11900" w:h="16838" w:orient="portrait"/>
          <w:cols w:equalWidth="0" w:num="2">
            <w:col w:w="6980" w:space="720"/>
            <w:col w:w="2519"/>
          </w:cols>
          <w:pgMar w:left="240" w:top="715"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715" w:right="1440" w:bottom="1440" w:gutter="0" w:footer="0" w:header="0"/>
          <w:type w:val="continuous"/>
        </w:sectPr>
      </w:pPr>
    </w:p>
    <w:bookmarkStart w:id="16" w:name="page17"/>
    <w:bookmarkEnd w:id="16"/>
    <w:p>
      <w:pPr>
        <w:ind w:left="3320"/>
        <w:spacing w:after="0"/>
        <w:rPr>
          <w:sz w:val="20"/>
          <w:szCs w:val="20"/>
          <w:color w:val="auto"/>
        </w:rPr>
      </w:pPr>
      <w:r>
        <w:rPr>
          <w:rFonts w:ascii="Courier New" w:cs="Courier New" w:eastAsia="Courier New" w:hAnsi="Courier New"/>
          <w:sz w:val="17"/>
          <w:szCs w:val="17"/>
          <w:color w:val="auto"/>
        </w:rPr>
        <w:t>Exhibit 11.1</w:t>
      </w: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LANDEC CORPORATION</w:t>
      </w:r>
    </w:p>
    <w:p>
      <w:pPr>
        <w:spacing w:after="0" w:line="200" w:lineRule="exact"/>
        <w:rPr>
          <w:sz w:val="20"/>
          <w:szCs w:val="20"/>
          <w:color w:val="auto"/>
        </w:rPr>
      </w:pPr>
    </w:p>
    <w:p>
      <w:pPr>
        <w:spacing w:after="0" w:line="207"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7"/>
          <w:szCs w:val="17"/>
          <w:color w:val="auto"/>
        </w:rPr>
        <w:t>STATEMENT REGARDING COMPUTATION OF NET LOSS PER SHARE</w:t>
      </w:r>
    </w:p>
    <w:p>
      <w:pPr>
        <w:spacing w:after="0" w:line="7"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780"/>
        <w:spacing w:after="0"/>
        <w:rPr>
          <w:sz w:val="20"/>
          <w:szCs w:val="20"/>
          <w:color w:val="auto"/>
        </w:rPr>
      </w:pPr>
      <w:r>
        <w:rPr>
          <w:rFonts w:ascii="Courier New" w:cs="Courier New" w:eastAsia="Courier New" w:hAnsi="Courier New"/>
          <w:sz w:val="17"/>
          <w:szCs w:val="17"/>
          <w:color w:val="auto"/>
        </w:rPr>
        <w:t>Three Months Ended January 31,</w:t>
      </w:r>
    </w:p>
    <w:p>
      <w:pPr>
        <w:spacing w:after="0" w:line="7" w:lineRule="exact"/>
        <w:rPr>
          <w:sz w:val="20"/>
          <w:szCs w:val="20"/>
          <w:color w:val="auto"/>
        </w:rPr>
      </w:pPr>
    </w:p>
    <w:p>
      <w:pPr>
        <w:ind w:left="8100"/>
        <w:spacing w:after="0"/>
        <w:tabs>
          <w:tab w:leader="none" w:pos="10260" w:val="left"/>
        </w:tabs>
        <w:rPr>
          <w:sz w:val="20"/>
          <w:szCs w:val="20"/>
          <w:color w:val="auto"/>
        </w:rPr>
      </w:pP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7"/>
          <w:szCs w:val="17"/>
          <w:color w:val="auto"/>
        </w:rPr>
        <w:t>1996</w:t>
      </w:r>
    </w:p>
    <w:p>
      <w:pPr>
        <w:spacing w:after="0" w:line="7" w:lineRule="exact"/>
        <w:rPr>
          <w:sz w:val="20"/>
          <w:szCs w:val="20"/>
          <w:color w:val="auto"/>
        </w:rPr>
      </w:pPr>
    </w:p>
    <w:p>
      <w:pPr>
        <w:ind w:left="7780"/>
        <w:spacing w:after="0"/>
        <w:tabs>
          <w:tab w:leader="none" w:pos="98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ectPr>
          <w:pgSz w:w="11900" w:h="16838" w:orient="portrait"/>
          <w:cols w:equalWidth="0" w:num="1">
            <w:col w:w="11120"/>
          </w:cols>
          <w:pgMar w:left="460" w:top="342" w:right="319"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Loss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7"/>
          <w:szCs w:val="17"/>
          <w:color w:val="auto"/>
        </w:rPr>
        <w:t>$</w:t>
        <w:tab/>
        <w:t>(1,295)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firstLine="104"/>
        <w:spacing w:after="0" w:line="251" w:lineRule="auto"/>
        <w:rPr>
          <w:sz w:val="20"/>
          <w:szCs w:val="20"/>
          <w:color w:val="auto"/>
        </w:rPr>
      </w:pPr>
      <w:r>
        <w:rPr>
          <w:rFonts w:ascii="Courier New" w:cs="Courier New" w:eastAsia="Courier New" w:hAnsi="Courier New"/>
          <w:sz w:val="17"/>
          <w:szCs w:val="17"/>
          <w:color w:val="auto"/>
        </w:rPr>
        <w:t>$ (1,248) ============</w:t>
      </w:r>
    </w:p>
    <w:p>
      <w:pPr>
        <w:spacing w:after="0" w:line="200" w:lineRule="exact"/>
        <w:rPr>
          <w:sz w:val="20"/>
          <w:szCs w:val="20"/>
          <w:color w:val="auto"/>
        </w:rPr>
      </w:pPr>
    </w:p>
    <w:p>
      <w:pPr>
        <w:sectPr>
          <w:pgSz w:w="11900" w:h="16838" w:orient="portrait"/>
          <w:cols w:equalWidth="0" w:num="3">
            <w:col w:w="7060" w:space="720"/>
            <w:col w:w="1360" w:space="720"/>
            <w:col w:w="1260"/>
          </w:cols>
          <w:pgMar w:left="460" w:top="342" w:right="319"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used in calculating net loss per share:</w:t>
      </w:r>
    </w:p>
    <w:p>
      <w:pPr>
        <w:sectPr>
          <w:pgSz w:w="11900" w:h="16838" w:orient="portrait"/>
          <w:cols w:equalWidth="0" w:num="1">
            <w:col w:w="11120"/>
          </w:cols>
          <w:pgMar w:left="460" w:top="342" w:right="319" w:bottom="1440" w:gutter="0" w:footer="0" w:header="0"/>
          <w:type w:val="continuous"/>
        </w:sectPr>
      </w:pPr>
    </w:p>
    <w:p>
      <w:pPr>
        <w:spacing w:after="0" w:line="7" w:lineRule="exact"/>
        <w:rPr>
          <w:sz w:val="20"/>
          <w:szCs w:val="20"/>
          <w:color w:val="auto"/>
        </w:rPr>
      </w:pPr>
    </w:p>
    <w:p>
      <w:pPr>
        <w:ind w:right="1240" w:firstLine="519"/>
        <w:spacing w:after="0" w:line="500" w:lineRule="auto"/>
        <w:rPr>
          <w:sz w:val="20"/>
          <w:szCs w:val="20"/>
          <w:color w:val="auto"/>
        </w:rPr>
      </w:pPr>
      <w:r>
        <w:rPr>
          <w:rFonts w:ascii="Courier New" w:cs="Courier New" w:eastAsia="Courier New" w:hAnsi="Courier New"/>
          <w:sz w:val="17"/>
          <w:szCs w:val="17"/>
          <w:color w:val="auto"/>
        </w:rPr>
        <w:t>Weighted average shares of common stock outstanding Net loss per share</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7"/>
          <w:szCs w:val="17"/>
          <w:color w:val="auto"/>
        </w:rPr>
        <w:t>10,760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Courier New" w:cs="Courier New" w:eastAsia="Courier New" w:hAnsi="Courier New"/>
          <w:sz w:val="17"/>
          <w:szCs w:val="17"/>
          <w:color w:val="auto"/>
        </w:rPr>
        <w:t>552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100"/>
        <w:spacing w:after="0"/>
        <w:tabs>
          <w:tab w:leader="none" w:pos="7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(2.26)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sectPr>
          <w:pgSz w:w="11900" w:h="16838" w:orient="portrait"/>
          <w:cols w:equalWidth="0" w:num="3">
            <w:col w:w="7060" w:space="720"/>
            <w:col w:w="1260" w:space="720"/>
            <w:col w:w="1360"/>
          </w:cols>
          <w:pgMar w:left="460" w:top="342" w:right="319"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used in calculating supplemental net loss per share: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Weighted average shares of common stock outstanding</w:t>
      </w:r>
    </w:p>
    <w:p>
      <w:pPr>
        <w:spacing w:after="0" w:line="7" w:lineRule="exact"/>
        <w:rPr>
          <w:sz w:val="20"/>
          <w:szCs w:val="20"/>
          <w:color w:val="auto"/>
        </w:rPr>
      </w:pPr>
    </w:p>
    <w:p>
      <w:pPr>
        <w:ind w:left="520"/>
        <w:spacing w:after="0"/>
        <w:tabs>
          <w:tab w:leader="none" w:pos="4640" w:val="left"/>
        </w:tabs>
        <w:rPr>
          <w:sz w:val="20"/>
          <w:szCs w:val="20"/>
          <w:color w:val="auto"/>
        </w:rPr>
      </w:pPr>
      <w:r>
        <w:rPr>
          <w:rFonts w:ascii="Courier New" w:cs="Courier New" w:eastAsia="Courier New" w:hAnsi="Courier New"/>
          <w:sz w:val="17"/>
          <w:szCs w:val="17"/>
          <w:color w:val="auto"/>
        </w:rPr>
        <w:t>Weighted average shares of the assumed</w:t>
        <w:tab/>
        <w:t>conversion of preferred</w:t>
      </w:r>
    </w:p>
    <w:p>
      <w:pPr>
        <w:spacing w:after="0" w:line="7"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stock and promissory notes from the date of issuance</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552</w:t>
      </w:r>
    </w:p>
    <w:p>
      <w:pPr>
        <w:spacing w:after="0" w:line="417" w:lineRule="exact"/>
        <w:rPr>
          <w:sz w:val="20"/>
          <w:szCs w:val="20"/>
          <w:color w:val="auto"/>
        </w:rPr>
      </w:pPr>
    </w:p>
    <w:p>
      <w:pPr>
        <w:sectPr>
          <w:pgSz w:w="11900" w:h="16838" w:orient="portrait"/>
          <w:cols w:equalWidth="0" w:num="2">
            <w:col w:w="9980" w:space="720"/>
            <w:col w:w="420"/>
          </w:cols>
          <w:pgMar w:left="460" w:top="342" w:right="319" w:bottom="1440" w:gutter="0" w:footer="0" w:header="0"/>
          <w:type w:val="continuous"/>
        </w:sectPr>
      </w:pPr>
    </w:p>
    <w:p>
      <w:pPr>
        <w:spacing w:after="0" w:line="400" w:lineRule="exact"/>
        <w:rPr>
          <w:sz w:val="20"/>
          <w:szCs w:val="20"/>
          <w:color w:val="auto"/>
        </w:rPr>
      </w:pPr>
    </w:p>
    <w:p>
      <w:pPr>
        <w:ind w:right="2400"/>
        <w:spacing w:after="0" w:line="500" w:lineRule="auto"/>
        <w:rPr>
          <w:sz w:val="20"/>
          <w:szCs w:val="20"/>
          <w:color w:val="auto"/>
        </w:rPr>
      </w:pPr>
      <w:r>
        <w:rPr>
          <w:rFonts w:ascii="Courier New" w:cs="Courier New" w:eastAsia="Courier New" w:hAnsi="Courier New"/>
          <w:sz w:val="17"/>
          <w:szCs w:val="17"/>
          <w:color w:val="auto"/>
        </w:rPr>
        <w:t>Total shares used in calculating supplemental net loss per share Supplemental net loss per share</w:t>
      </w:r>
    </w:p>
    <w:p>
      <w:pPr>
        <w:spacing w:after="0" w:line="20" w:lineRule="exact"/>
        <w:rPr>
          <w:sz w:val="20"/>
          <w:szCs w:val="20"/>
          <w:color w:val="auto"/>
        </w:rPr>
      </w:pPr>
      <w:r>
        <w:rPr>
          <w:sz w:val="20"/>
          <w:szCs w:val="20"/>
          <w:color w:val="auto"/>
        </w:rPr>
        <w:br w:type="column"/>
      </w:r>
    </w:p>
    <w:p>
      <w:pPr>
        <w:ind w:left="720"/>
        <w:spacing w:after="0"/>
        <w:rPr>
          <w:sz w:val="20"/>
          <w:szCs w:val="20"/>
          <w:color w:val="auto"/>
        </w:rPr>
      </w:pPr>
      <w:r>
        <w:rPr>
          <w:rFonts w:ascii="Courier New" w:cs="Courier New" w:eastAsia="Courier New" w:hAnsi="Courier New"/>
          <w:sz w:val="17"/>
          <w:szCs w:val="17"/>
          <w:color w:val="auto"/>
        </w:rPr>
        <w:t>6,851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7,403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sectPr>
          <w:pgSz w:w="11900" w:h="16838" w:orient="portrait"/>
          <w:cols w:equalWidth="0" w:num="2">
            <w:col w:w="9040" w:space="720"/>
            <w:col w:w="1360"/>
          </w:cols>
          <w:pgMar w:left="460" w:top="342" w:right="31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1120"/>
          </w:cols>
          <w:pgMar w:left="460" w:top="342" w:right="319" w:bottom="1440" w:gutter="0" w:footer="0" w:header="0"/>
          <w:type w:val="continuous"/>
        </w:sectPr>
      </w:pPr>
    </w:p>
    <w:bookmarkStart w:id="17" w:name="page18"/>
    <w:bookmarkEnd w:id="17"/>
    <w:p>
      <w:pPr>
        <w:ind w:left="2860"/>
        <w:spacing w:after="0"/>
        <w:rPr>
          <w:sz w:val="20"/>
          <w:szCs w:val="20"/>
          <w:color w:val="auto"/>
        </w:rPr>
      </w:pPr>
      <w:r>
        <w:rPr>
          <w:rFonts w:ascii="Courier New" w:cs="Courier New" w:eastAsia="Courier New" w:hAnsi="Courier New"/>
          <w:sz w:val="17"/>
          <w:szCs w:val="17"/>
          <w:color w:val="auto"/>
        </w:rPr>
        <w:t>5</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1000</w:t>
      </w:r>
    </w:p>
    <w:p>
      <w:pPr>
        <w:spacing w:after="0" w:line="200" w:lineRule="exact"/>
        <w:rPr>
          <w:sz w:val="20"/>
          <w:szCs w:val="20"/>
          <w:color w:val="auto"/>
        </w:rPr>
      </w:pPr>
    </w:p>
    <w:p>
      <w:pPr>
        <w:spacing w:after="0" w:line="207" w:lineRule="exact"/>
        <w:rPr>
          <w:sz w:val="20"/>
          <w:szCs w:val="20"/>
          <w:color w:val="auto"/>
        </w:rPr>
      </w:pPr>
    </w:p>
    <w:p>
      <w:pPr>
        <w:ind w:left="880"/>
        <w:spacing w:after="0"/>
        <w:rPr>
          <w:sz w:val="20"/>
          <w:szCs w:val="20"/>
          <w:color w:val="auto"/>
        </w:rPr>
      </w:pPr>
      <w:r>
        <w:rPr>
          <w:rFonts w:ascii="Courier New" w:cs="Courier New" w:eastAsia="Courier New" w:hAnsi="Courier New"/>
          <w:sz w:val="17"/>
          <w:szCs w:val="17"/>
          <w:color w:val="auto"/>
        </w:rPr>
        <w:t>3-MOS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OCT-31-1997</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NOV-01-1996</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JAN-31-1997</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10,370</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24,429</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134</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(32)</w:t>
      </w:r>
    </w:p>
    <w:p>
      <w:pPr>
        <w:spacing w:after="0" w:line="7"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478</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35,594</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3,648</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(2,393)</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36,974</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1,273</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68,296</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(32,862)</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7"/>
          <w:szCs w:val="17"/>
          <w:color w:val="auto"/>
        </w:rPr>
        <w:t>36,974</w:t>
      </w:r>
    </w:p>
    <w:p>
      <w:pPr>
        <w:spacing w:after="0" w:line="7"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173</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390</w:t>
      </w:r>
    </w:p>
    <w:p>
      <w:pPr>
        <w:spacing w:after="0" w:line="7" w:lineRule="exact"/>
        <w:rPr>
          <w:sz w:val="20"/>
          <w:szCs w:val="20"/>
          <w:color w:val="auto"/>
        </w:rPr>
      </w:pPr>
    </w:p>
    <w:p>
      <w:pPr>
        <w:jc w:val="right"/>
        <w:ind w:right="5119"/>
        <w:spacing w:after="0"/>
        <w:rPr>
          <w:sz w:val="20"/>
          <w:szCs w:val="20"/>
          <w:color w:val="auto"/>
        </w:rPr>
      </w:pPr>
      <w:r>
        <w:rPr>
          <w:rFonts w:ascii="Courier New" w:cs="Courier New" w:eastAsia="Courier New" w:hAnsi="Courier New"/>
          <w:sz w:val="17"/>
          <w:szCs w:val="17"/>
          <w:color w:val="auto"/>
        </w:rPr>
        <w:t>309</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1,225</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20</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(1,295)</w:t>
      </w:r>
    </w:p>
    <w:p>
      <w:pPr>
        <w:spacing w:after="0" w:line="7"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(1,295)</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7"/>
          <w:szCs w:val="17"/>
          <w:color w:val="auto"/>
        </w:rPr>
        <w:t>(1,295)</w:t>
      </w:r>
    </w:p>
    <w:p>
      <w:pPr>
        <w:spacing w:after="0" w:line="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7"/>
          <w:szCs w:val="17"/>
          <w:color w:val="auto"/>
        </w:rPr>
        <w:t>(.12)</w:t>
      </w:r>
    </w:p>
    <w:p>
      <w:pPr>
        <w:spacing w:after="0" w:line="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7"/>
          <w:szCs w:val="17"/>
          <w:color w:val="auto"/>
        </w:rPr>
        <w:t>(.12)</w:t>
      </w:r>
    </w:p>
    <w:sectPr>
      <w:pgSz w:w="11900" w:h="16838" w:orient="portrait"/>
      <w:cols w:equalWidth="0" w:num="1">
        <w:col w:w="9019"/>
      </w:cols>
      <w:pgMar w:left="1440" w:top="7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3"/>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2019-12-14T07:37:01Z</dcterms:created>
  <dcterms:modified xsi:type="dcterms:W3CDTF">2019-12-14T07:37:01Z</dcterms:modified>
</cp:coreProperties>
</file>