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OBUS NELSON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LIFECORE BIOMEDICAL,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3515 LYMAN BLVD.</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CHASKA</w:t>
            </w:r>
          </w:p>
        </w:tc>
        <w:tc>
          <w:tcPr>
            <w:tcW w:w="1060" w:type="dxa"/>
            <w:vAlign w:val="bottom"/>
          </w:tcPr>
          <w:p>
            <w:pPr>
              <w:ind w:left="260"/>
              <w:spacing w:after="0"/>
              <w:rPr>
                <w:sz w:val="20"/>
                <w:szCs w:val="20"/>
                <w:color w:val="auto"/>
              </w:rPr>
            </w:pPr>
            <w:r>
              <w:rPr>
                <w:rFonts w:ascii="Arial" w:cs="Arial" w:eastAsia="Arial" w:hAnsi="Arial"/>
                <w:sz w:val="18"/>
                <w:szCs w:val="18"/>
                <w:color w:val="0000FF"/>
              </w:rPr>
              <w:t>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55318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LIFECORE BIOMEDICAL, INC. \DE\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440" w:type="dxa"/>
            <w:vAlign w:val="bottom"/>
            <w:tcBorders>
              <w:bottom w:val="single" w:sz="8" w:color="0000EE"/>
            </w:tcBorders>
            <w:gridSpan w:val="2"/>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LFCR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52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18,182</w:t>
            </w:r>
          </w:p>
        </w:tc>
        <w:tc>
          <w:tcPr>
            <w:tcW w:w="660" w:type="dxa"/>
            <w:vAlign w:val="bottom"/>
          </w:tcPr>
          <w:p>
            <w:pPr>
              <w:ind w:left="300"/>
              <w:spacing w:after="0"/>
              <w:rPr>
                <w:sz w:val="20"/>
                <w:szCs w:val="20"/>
                <w:color w:val="auto"/>
              </w:rPr>
            </w:pPr>
            <w:r>
              <w:rPr>
                <w:rFonts w:ascii="Arial" w:cs="Arial" w:eastAsia="Arial" w:hAnsi="Arial"/>
                <w:sz w:val="18"/>
                <w:szCs w:val="18"/>
                <w:color w:val="0000FF"/>
              </w:rPr>
              <w:t>A</w:t>
            </w:r>
          </w:p>
        </w:tc>
        <w:tc>
          <w:tcPr>
            <w:tcW w:w="540" w:type="dxa"/>
            <w:vAlign w:val="bottom"/>
            <w:gridSpan w:val="3"/>
          </w:tcPr>
          <w:p>
            <w:pPr>
              <w:jc w:val="right"/>
              <w:ind w:right="99"/>
              <w:spacing w:after="0"/>
              <w:rPr>
                <w:sz w:val="20"/>
                <w:szCs w:val="20"/>
                <w:color w:val="auto"/>
              </w:rPr>
            </w:pPr>
            <w:r>
              <w:rPr>
                <w:rFonts w:ascii="Arial" w:cs="Arial" w:eastAsia="Arial" w:hAnsi="Arial"/>
                <w:sz w:val="11"/>
                <w:szCs w:val="11"/>
                <w:color w:val="008000"/>
              </w:rPr>
              <w:t>(1)(2)</w:t>
            </w: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79,133</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of Lifecore Biomedical, Inc. on a 1 for 1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will vest and be settled on the earlier of the 1st anniversary of the grant date or the date of the 2024 Annual Meeting of Stockholders (provided such date is no less than 50 weeks from Grant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Aaron Perlitsh,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06/01/2023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 for Nelson Obus</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7043" TargetMode="External"/><Relationship Id="rId13"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2023-06-05T14:10:24Z</dcterms:created>
  <dcterms:modified xsi:type="dcterms:W3CDTF">2023-06-05T14:10:24Z</dcterms:modified>
</cp:coreProperties>
</file>