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1080" w:right="3700"/>
        <w:spacing w:after="0" w:line="248" w:lineRule="auto"/>
        <w:rPr>
          <w:sz w:val="20"/>
          <w:szCs w:val="20"/>
          <w:color w:val="auto"/>
        </w:rPr>
      </w:pPr>
      <w:r>
        <w:rPr>
          <w:rFonts w:ascii="Courier New" w:cs="Courier New" w:eastAsia="Courier New" w:hAnsi="Courier New"/>
          <w:sz w:val="16"/>
          <w:szCs w:val="16"/>
          <w:color w:val="auto"/>
        </w:rPr>
        <w:t>As filed with the Securities and Exchange Commission on June 13, 1997 Registration No. 33-_____</w:t>
      </w:r>
    </w:p>
    <w:p>
      <w:pPr>
        <w:spacing w:after="0" w:line="1"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Washington, D.C. 20549</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FORM S-8</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REGISTRATION STATEMENT</w:t>
      </w:r>
    </w:p>
    <w:p>
      <w:pPr>
        <w:spacing w:after="0" w:line="7"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THE SECURITIES ACT OF 1933</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LANDEC CORPORATION</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0"/>
          </w:cols>
          <w:pgMar w:left="240" w:top="242" w:right="139" w:bottom="0" w:gutter="0" w:footer="0" w:header="0"/>
        </w:sectPr>
      </w:pPr>
    </w:p>
    <w:p>
      <w:pPr>
        <w:spacing w:after="0" w:line="19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California</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94-3025618</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95" w:lineRule="exact"/>
        <w:rPr>
          <w:sz w:val="24"/>
          <w:szCs w:val="24"/>
          <w:color w:val="auto"/>
        </w:rPr>
      </w:pPr>
    </w:p>
    <w:p>
      <w:pPr>
        <w:sectPr>
          <w:pgSz w:w="11900" w:h="16838" w:orient="portrait"/>
          <w:cols w:equalWidth="0" w:num="2">
            <w:col w:w="3580" w:space="720"/>
            <w:col w:w="7220"/>
          </w:cols>
          <w:pgMar w:left="240" w:top="242" w:right="139" w:bottom="0" w:gutter="0" w:footer="0" w:header="0"/>
          <w:type w:val="continuous"/>
        </w:sectPr>
      </w:pPr>
    </w:p>
    <w:p>
      <w:pPr>
        <w:jc w:val="center"/>
        <w:ind w:right="3600"/>
        <w:spacing w:after="0"/>
        <w:rPr>
          <w:sz w:val="20"/>
          <w:szCs w:val="20"/>
          <w:color w:val="auto"/>
        </w:rPr>
      </w:pPr>
      <w:r>
        <w:rPr>
          <w:rFonts w:ascii="Courier New" w:cs="Courier New" w:eastAsia="Courier New" w:hAnsi="Courier New"/>
          <w:sz w:val="16"/>
          <w:szCs w:val="16"/>
          <w:color w:val="auto"/>
        </w:rPr>
        <w:t>3603 Haven Avenue</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Menlo Park, CA 94025-1010</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1996 Stock Option Plan</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6"/>
          <w:szCs w:val="16"/>
          <w:color w:val="auto"/>
        </w:rPr>
        <w:t>1996 Non-Executive Stock Option Plan</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(Full title of the Plans)</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Gary T. Steele</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President &amp; Chief Executive Officer</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LANDEC CORPORATION</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3603 Haven Avenue</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Menlo Park, CA 94025-1010</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(415) 306-1650</w:t>
      </w:r>
    </w:p>
    <w:p>
      <w:pPr>
        <w:spacing w:after="0" w:line="7" w:lineRule="exact"/>
        <w:rPr>
          <w:sz w:val="24"/>
          <w:szCs w:val="24"/>
          <w:color w:val="auto"/>
        </w:rPr>
      </w:pPr>
    </w:p>
    <w:p>
      <w:pPr>
        <w:jc w:val="center"/>
        <w:ind w:right="3600"/>
        <w:spacing w:after="0"/>
        <w:rPr>
          <w:sz w:val="20"/>
          <w:szCs w:val="20"/>
          <w:color w:val="auto"/>
        </w:rPr>
      </w:pPr>
      <w:r>
        <w:rPr>
          <w:rFonts w:ascii="Courier New" w:cs="Courier New" w:eastAsia="Courier New" w:hAnsi="Courier New"/>
          <w:sz w:val="16"/>
          <w:szCs w:val="16"/>
          <w:color w:val="auto"/>
        </w:rPr>
        <w:t>(Name, address and telephone number, including area code, of agent for service)</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3700"/>
        <w:spacing w:after="0"/>
        <w:rPr>
          <w:sz w:val="20"/>
          <w:szCs w:val="20"/>
          <w:color w:val="auto"/>
        </w:rPr>
      </w:pPr>
      <w:r>
        <w:rPr>
          <w:rFonts w:ascii="Courier New" w:cs="Courier New" w:eastAsia="Courier New" w:hAnsi="Courier New"/>
          <w:sz w:val="16"/>
          <w:szCs w:val="16"/>
          <w:color w:val="auto"/>
        </w:rPr>
        <w:t>Copies to:</w:t>
      </w:r>
    </w:p>
    <w:p>
      <w:pPr>
        <w:spacing w:after="0" w:line="195"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Tae Hea Nahm</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VENTURE LAW GROUP</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2800 Sand Hill Road</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Menlo Park, California 94025</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(415) 854-4488</w:t>
      </w:r>
    </w:p>
    <w:p>
      <w:pPr>
        <w:spacing w:after="0" w:line="195"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Page 1 of 13 Pages</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Exhibit Index on Page 7</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CALCULATION OF REGISTRATION FEE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Proposed</w:t>
            </w:r>
          </w:p>
        </w:tc>
        <w:tc>
          <w:tcPr>
            <w:tcW w:w="19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8"/>
        </w:trPr>
        <w:tc>
          <w:tcPr>
            <w:tcW w:w="39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Maximum</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Amount</w:t>
            </w:r>
          </w:p>
        </w:tc>
        <w:tc>
          <w:tcPr>
            <w:tcW w:w="1700" w:type="dxa"/>
            <w:vAlign w:val="bottom"/>
          </w:tcPr>
          <w:p>
            <w:pPr>
              <w:ind w:left="580"/>
              <w:spacing w:after="0"/>
              <w:rPr>
                <w:sz w:val="20"/>
                <w:szCs w:val="20"/>
                <w:color w:val="auto"/>
              </w:rPr>
            </w:pPr>
            <w:r>
              <w:rPr>
                <w:rFonts w:ascii="Courier New" w:cs="Courier New" w:eastAsia="Courier New" w:hAnsi="Courier New"/>
                <w:sz w:val="16"/>
                <w:szCs w:val="16"/>
                <w:color w:val="auto"/>
              </w:rPr>
              <w:t>Maximum</w:t>
            </w:r>
          </w:p>
        </w:tc>
        <w:tc>
          <w:tcPr>
            <w:tcW w:w="1920" w:type="dxa"/>
            <w:vAlign w:val="bottom"/>
          </w:tcPr>
          <w:p>
            <w:pPr>
              <w:ind w:left="160"/>
              <w:spacing w:after="0"/>
              <w:rPr>
                <w:sz w:val="20"/>
                <w:szCs w:val="20"/>
                <w:color w:val="auto"/>
              </w:rPr>
            </w:pPr>
            <w:r>
              <w:rPr>
                <w:rFonts w:ascii="Courier New" w:cs="Courier New" w:eastAsia="Courier New" w:hAnsi="Courier New"/>
                <w:sz w:val="16"/>
                <w:szCs w:val="16"/>
                <w:color w:val="auto"/>
              </w:rPr>
              <w:t>Proposed Maximum</w:t>
            </w:r>
          </w:p>
        </w:tc>
        <w:tc>
          <w:tcPr>
            <w:tcW w:w="12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Amount of</w:t>
            </w:r>
          </w:p>
        </w:tc>
      </w:tr>
      <w:tr>
        <w:trPr>
          <w:trHeight w:val="188"/>
        </w:trPr>
        <w:tc>
          <w:tcPr>
            <w:tcW w:w="39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be</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Offering Price</w:t>
            </w:r>
          </w:p>
        </w:tc>
        <w:tc>
          <w:tcPr>
            <w:tcW w:w="1920" w:type="dxa"/>
            <w:vAlign w:val="bottom"/>
          </w:tcPr>
          <w:p>
            <w:pPr>
              <w:ind w:left="540"/>
              <w:spacing w:after="0"/>
              <w:rPr>
                <w:sz w:val="20"/>
                <w:szCs w:val="20"/>
                <w:color w:val="auto"/>
              </w:rPr>
            </w:pPr>
            <w:r>
              <w:rPr>
                <w:rFonts w:ascii="Courier New" w:cs="Courier New" w:eastAsia="Courier New" w:hAnsi="Courier New"/>
                <w:sz w:val="16"/>
                <w:szCs w:val="16"/>
                <w:color w:val="auto"/>
              </w:rPr>
              <w:t>Aggregate</w:t>
            </w:r>
          </w:p>
        </w:tc>
        <w:tc>
          <w:tcPr>
            <w:tcW w:w="1260" w:type="dxa"/>
            <w:vAlign w:val="bottom"/>
          </w:tcPr>
          <w:p>
            <w:pPr>
              <w:ind w:left="80"/>
              <w:spacing w:after="0"/>
              <w:rPr>
                <w:sz w:val="20"/>
                <w:szCs w:val="20"/>
                <w:color w:val="auto"/>
              </w:rPr>
            </w:pPr>
            <w:r>
              <w:rPr>
                <w:rFonts w:ascii="Courier New" w:cs="Courier New" w:eastAsia="Courier New" w:hAnsi="Courier New"/>
                <w:sz w:val="16"/>
                <w:szCs w:val="16"/>
                <w:color w:val="auto"/>
              </w:rPr>
              <w:t>Registration</w:t>
            </w:r>
          </w:p>
        </w:tc>
      </w:tr>
      <w:tr>
        <w:trPr>
          <w:trHeight w:val="188"/>
        </w:trPr>
        <w:tc>
          <w:tcPr>
            <w:tcW w:w="3900" w:type="dxa"/>
            <w:vAlign w:val="bottom"/>
          </w:tcPr>
          <w:p>
            <w:pPr>
              <w:spacing w:after="0"/>
              <w:rPr>
                <w:sz w:val="20"/>
                <w:szCs w:val="20"/>
                <w:color w:val="auto"/>
              </w:rPr>
            </w:pPr>
            <w:r>
              <w:rPr>
                <w:rFonts w:ascii="Courier New" w:cs="Courier New" w:eastAsia="Courier New" w:hAnsi="Courier New"/>
                <w:sz w:val="16"/>
                <w:szCs w:val="16"/>
                <w:color w:val="auto"/>
              </w:rPr>
              <w:t>Title of Securities to be Registered</w:t>
            </w:r>
          </w:p>
        </w:tc>
        <w:tc>
          <w:tcPr>
            <w:tcW w:w="19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Registered(1)</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Per Share(2)</w:t>
            </w:r>
          </w:p>
        </w:tc>
        <w:tc>
          <w:tcPr>
            <w:tcW w:w="1920" w:type="dxa"/>
            <w:vAlign w:val="bottom"/>
          </w:tcPr>
          <w:p>
            <w:pPr>
              <w:ind w:left="160"/>
              <w:spacing w:after="0"/>
              <w:rPr>
                <w:sz w:val="20"/>
                <w:szCs w:val="20"/>
                <w:color w:val="auto"/>
              </w:rPr>
            </w:pPr>
            <w:r>
              <w:rPr>
                <w:rFonts w:ascii="Courier New" w:cs="Courier New" w:eastAsia="Courier New" w:hAnsi="Courier New"/>
                <w:sz w:val="16"/>
                <w:szCs w:val="16"/>
                <w:color w:val="auto"/>
              </w:rPr>
              <w:t>Offering Price(2)</w:t>
            </w:r>
          </w:p>
        </w:tc>
        <w:tc>
          <w:tcPr>
            <w:tcW w:w="126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Fee</w:t>
            </w: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8260" w:type="dxa"/>
            <w:vAlign w:val="bottom"/>
            <w:gridSpan w:val="6"/>
          </w:tcPr>
          <w:p>
            <w:pPr>
              <w:spacing w:after="0"/>
              <w:rPr>
                <w:sz w:val="20"/>
                <w:szCs w:val="20"/>
                <w:color w:val="auto"/>
              </w:rPr>
            </w:pPr>
            <w:r>
              <w:rPr>
                <w:rFonts w:ascii="Courier New" w:cs="Courier New" w:eastAsia="Courier New" w:hAnsi="Courier New"/>
                <w:sz w:val="16"/>
                <w:szCs w:val="16"/>
                <w:color w:val="auto"/>
              </w:rPr>
              <w:t>- ---------------------------------------------- ------------------ ----------------</w:t>
            </w: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w:t>
            </w:r>
          </w:p>
        </w:tc>
      </w:tr>
      <w:tr>
        <w:trPr>
          <w:trHeight w:val="376"/>
        </w:trPr>
        <w:tc>
          <w:tcPr>
            <w:tcW w:w="44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4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Option Plan</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8"/>
        </w:trPr>
        <w:tc>
          <w:tcPr>
            <w:tcW w:w="9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Common</w:t>
            </w:r>
          </w:p>
        </w:tc>
        <w:tc>
          <w:tcPr>
            <w:tcW w:w="358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750,000</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190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$5.25</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$3,937,500</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$1,193.00</w:t>
            </w:r>
          </w:p>
        </w:tc>
      </w:tr>
      <w:tr>
        <w:trPr>
          <w:trHeight w:val="188"/>
        </w:trPr>
        <w:tc>
          <w:tcPr>
            <w:tcW w:w="44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4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Non-Executive Stock Option Plan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9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Common</w:t>
            </w:r>
          </w:p>
        </w:tc>
        <w:tc>
          <w:tcPr>
            <w:tcW w:w="3580" w:type="dxa"/>
            <w:vAlign w:val="bottom"/>
          </w:tcPr>
          <w:p>
            <w:pPr>
              <w:ind w:left="60"/>
              <w:spacing w:after="0"/>
              <w:rPr>
                <w:sz w:val="20"/>
                <w:szCs w:val="20"/>
                <w:color w:val="auto"/>
              </w:rPr>
            </w:pPr>
            <w:r>
              <w:rPr>
                <w:rFonts w:ascii="Courier New" w:cs="Courier New" w:eastAsia="Courier New" w:hAnsi="Courier New"/>
                <w:sz w:val="16"/>
                <w:szCs w:val="16"/>
                <w:color w:val="auto"/>
              </w:rPr>
              <w:t>Stock.............................</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750,000</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190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$5.25</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$3,937,500</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$1,193.00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both"/>
        <w:ind w:left="880" w:right="3700" w:hanging="880"/>
        <w:spacing w:after="0" w:line="249"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shall also cover any additional shares of Common Stock which become issuable under any of the Plans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w:t>
      </w:r>
    </w:p>
    <w:p>
      <w:pPr>
        <w:spacing w:after="0" w:line="187" w:lineRule="exact"/>
        <w:rPr>
          <w:rFonts w:ascii="Courier New" w:cs="Courier New" w:eastAsia="Courier New" w:hAnsi="Courier New"/>
          <w:sz w:val="16"/>
          <w:szCs w:val="16"/>
          <w:color w:val="auto"/>
        </w:rPr>
      </w:pPr>
    </w:p>
    <w:p>
      <w:pPr>
        <w:jc w:val="both"/>
        <w:ind w:left="880" w:right="3700" w:hanging="880"/>
        <w:spacing w:after="0" w:line="249"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Rules 457(c) and 457(h) under the Securities Act solely for the purpose of calculating the registration fee. The computation with respect to unissued options is based upon the average high and low sale prices of the Common Stock as reported on the Nasdaq National Market on June 10, 1997.</w:t>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9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Incorporation of Documents by Reference.</w:t>
      </w:r>
    </w:p>
    <w:p>
      <w:pPr>
        <w:sectPr>
          <w:pgSz w:w="11900" w:h="16838" w:orient="portrait"/>
          <w:cols w:equalWidth="0" w:num="1">
            <w:col w:w="11520"/>
          </w:cols>
          <w:pgMar w:left="240" w:top="242" w:right="139" w:bottom="0" w:gutter="0" w:footer="0" w:header="0"/>
          <w:type w:val="continuous"/>
        </w:sectPr>
      </w:pPr>
    </w:p>
    <w:bookmarkStart w:id="1" w:name="page2"/>
    <w:bookmarkEnd w:id="1"/>
    <w:p>
      <w:pPr>
        <w:ind w:right="2399" w:firstLine="489"/>
        <w:spacing w:after="0" w:line="252" w:lineRule="auto"/>
        <w:rPr>
          <w:sz w:val="20"/>
          <w:szCs w:val="20"/>
          <w:color w:val="auto"/>
        </w:rPr>
      </w:pPr>
      <w:r>
        <w:rPr>
          <w:rFonts w:ascii="Courier New" w:cs="Courier New" w:eastAsia="Courier New" w:hAnsi="Courier New"/>
          <w:sz w:val="16"/>
          <w:szCs w:val="16"/>
          <w:color w:val="auto"/>
        </w:rPr>
        <w:t>The following documents filed with the Securities and Exchange Commission (the "Commission") are hereby incorporated by reference:</w:t>
      </w:r>
    </w:p>
    <w:p>
      <w:pPr>
        <w:spacing w:after="0" w:line="183" w:lineRule="exact"/>
        <w:rPr>
          <w:sz w:val="20"/>
          <w:szCs w:val="20"/>
          <w:color w:val="auto"/>
        </w:rPr>
      </w:pPr>
    </w:p>
    <w:p>
      <w:pPr>
        <w:jc w:val="both"/>
        <w:ind w:right="2399" w:firstLine="489"/>
        <w:spacing w:after="0" w:line="249" w:lineRule="auto"/>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Annual Report on Form 10-K, filed on January 29, 1997 pursuant to Section 13(a) of the Securities Exchange Act of 1934, as amended (the "Exchange Act") and any amendments thereto. The Registrant's Annual Report contains audited financial statements for the Registrant's fiscal years ended October 31, 1996 and 1995.</w:t>
      </w:r>
    </w:p>
    <w:p>
      <w:pPr>
        <w:spacing w:after="0" w:line="187" w:lineRule="exact"/>
        <w:rPr>
          <w:rFonts w:ascii="Courier New" w:cs="Courier New" w:eastAsia="Courier New" w:hAnsi="Courier New"/>
          <w:sz w:val="16"/>
          <w:szCs w:val="16"/>
          <w:color w:val="auto"/>
        </w:rPr>
      </w:pPr>
    </w:p>
    <w:p>
      <w:pPr>
        <w:jc w:val="both"/>
        <w:ind w:right="2399" w:firstLine="489"/>
        <w:spacing w:after="0" w:line="250" w:lineRule="auto"/>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Quarterly Report on Form 10-Q for the quarter ended January 31, 1997, filed on March 14, 1997 pursuant to Section 13(a) of the Exchange Act.</w:t>
      </w:r>
    </w:p>
    <w:p>
      <w:pPr>
        <w:spacing w:after="0" w:line="185" w:lineRule="exact"/>
        <w:rPr>
          <w:rFonts w:ascii="Courier New" w:cs="Courier New" w:eastAsia="Courier New" w:hAnsi="Courier New"/>
          <w:sz w:val="16"/>
          <w:szCs w:val="16"/>
          <w:color w:val="auto"/>
        </w:rPr>
      </w:pPr>
    </w:p>
    <w:p>
      <w:pPr>
        <w:jc w:val="both"/>
        <w:ind w:right="2399" w:firstLine="489"/>
        <w:spacing w:after="0" w:line="249" w:lineRule="auto"/>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Common Stock contained in the Registrant's Registration Statement on Form 8-A filed with the Commission under Section 12 of the Exchange Act on December 21, 1995, including any amendment or report filed for the purpose of updating such description.</w:t>
      </w:r>
    </w:p>
    <w:p>
      <w:pPr>
        <w:spacing w:after="0" w:line="188"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filing such documents.</w:t>
      </w:r>
    </w:p>
    <w:p>
      <w:pPr>
        <w:spacing w:after="0" w:line="187" w:lineRule="exact"/>
        <w:rPr>
          <w:sz w:val="20"/>
          <w:szCs w:val="20"/>
          <w:color w:val="auto"/>
        </w:rPr>
      </w:pPr>
    </w:p>
    <w:p>
      <w:pPr>
        <w:spacing w:after="0"/>
        <w:tabs>
          <w:tab w:leader="none" w:pos="860" w:val="left"/>
          <w:tab w:leader="none" w:pos="3600" w:val="left"/>
        </w:tabs>
        <w:rPr>
          <w:sz w:val="20"/>
          <w:szCs w:val="20"/>
          <w:color w:val="auto"/>
        </w:rPr>
      </w:pPr>
      <w:r>
        <w:rPr>
          <w:rFonts w:ascii="Courier New" w:cs="Courier New" w:eastAsia="Courier New" w:hAnsi="Courier New"/>
          <w:sz w:val="16"/>
          <w:szCs w:val="16"/>
          <w:color w:val="auto"/>
        </w:rPr>
        <w:t>Item 4.</w:t>
        <w:tab/>
        <w:t>Description of Securities.</w:t>
        <w:tab/>
        <w:t>Not applicable.</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Interests of Named Experts and Counsel.</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Certain legal matters with respect to the legality of the issuance of the Common Stock registered hereby will be passed upon for the Registrant by Venture Law Group, Menlo Park, California. As of the date of this Registration Statement, certain members of Venture Law Group and investment partnerships of which members of Venture Law Group are partners beneficially own 5,771 shares and an option for 3,478 shares, respectively, of the Registrant's Common Stock in the aggregate.</w:t>
      </w:r>
    </w:p>
    <w:p>
      <w:pPr>
        <w:spacing w:after="0" w:line="3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Registrant's Articles of Incorporation reduces the liability of a director to the corporation or its shareholders for monetary damages for breaches of his or her fiduciary duty of care to the fullest extent permissible under California law. The Bylaws of the Registrant further provide for indemnification of corporate agents to the maximum extent permitted by the California Corporations Code. In addition, the Registrant has entered into Indemnification Agreements with its officers and directors.</w:t>
      </w:r>
    </w:p>
    <w:p>
      <w:pPr>
        <w:spacing w:after="0" w:line="187" w:lineRule="exact"/>
        <w:rPr>
          <w:sz w:val="20"/>
          <w:szCs w:val="20"/>
          <w:color w:val="auto"/>
        </w:rPr>
      </w:pPr>
    </w:p>
    <w:p>
      <w:pPr>
        <w:spacing w:after="0"/>
        <w:tabs>
          <w:tab w:leader="none" w:pos="860" w:val="left"/>
          <w:tab w:leader="none" w:pos="4580" w:val="left"/>
        </w:tabs>
        <w:rPr>
          <w:sz w:val="20"/>
          <w:szCs w:val="20"/>
          <w:color w:val="auto"/>
        </w:rPr>
      </w:pPr>
      <w:r>
        <w:rPr>
          <w:rFonts w:ascii="Courier New" w:cs="Courier New" w:eastAsia="Courier New" w:hAnsi="Courier New"/>
          <w:sz w:val="16"/>
          <w:szCs w:val="16"/>
          <w:color w:val="auto"/>
        </w:rPr>
        <w:t>Item 7.</w:t>
        <w:tab/>
        <w:t>Exemption from Registration Claimed.</w:t>
        <w:tab/>
        <w:t>Not applicable.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3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8.</w:t>
            </w:r>
          </w:p>
        </w:tc>
        <w:tc>
          <w:tcPr>
            <w:tcW w:w="264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4300" w:type="dxa"/>
            <w:vAlign w:val="bottom"/>
          </w:tcPr>
          <w:p>
            <w:pPr>
              <w:spacing w:after="0"/>
              <w:rPr>
                <w:sz w:val="15"/>
                <w:szCs w:val="15"/>
                <w:color w:val="auto"/>
              </w:rPr>
            </w:pPr>
          </w:p>
        </w:tc>
      </w:tr>
      <w:tr>
        <w:trPr>
          <w:trHeight w:val="376"/>
        </w:trPr>
        <w:tc>
          <w:tcPr>
            <w:tcW w:w="35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Exhibit</w:t>
            </w:r>
          </w:p>
        </w:tc>
        <w:tc>
          <w:tcPr>
            <w:tcW w:w="4300" w:type="dxa"/>
            <w:vAlign w:val="bottom"/>
          </w:tcPr>
          <w:p>
            <w:pPr>
              <w:spacing w:after="0"/>
              <w:rPr>
                <w:sz w:val="24"/>
                <w:szCs w:val="24"/>
                <w:color w:val="auto"/>
              </w:rPr>
            </w:pPr>
          </w:p>
        </w:tc>
      </w:tr>
      <w:tr>
        <w:trPr>
          <w:trHeight w:val="188"/>
        </w:trPr>
        <w:tc>
          <w:tcPr>
            <w:tcW w:w="35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Number</w:t>
            </w:r>
          </w:p>
        </w:tc>
        <w:tc>
          <w:tcPr>
            <w:tcW w:w="4300" w:type="dxa"/>
            <w:vAlign w:val="bottom"/>
          </w:tcPr>
          <w:p>
            <w:pPr>
              <w:spacing w:after="0"/>
              <w:rPr>
                <w:sz w:val="16"/>
                <w:szCs w:val="16"/>
                <w:color w:val="auto"/>
              </w:rPr>
            </w:pPr>
          </w:p>
        </w:tc>
      </w:tr>
      <w:tr>
        <w:trPr>
          <w:trHeight w:val="188"/>
        </w:trPr>
        <w:tc>
          <w:tcPr>
            <w:tcW w:w="35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w:t>
            </w:r>
          </w:p>
        </w:tc>
        <w:tc>
          <w:tcPr>
            <w:tcW w:w="4300" w:type="dxa"/>
            <w:vAlign w:val="bottom"/>
          </w:tcPr>
          <w:p>
            <w:pPr>
              <w:spacing w:after="0"/>
              <w:rPr>
                <w:sz w:val="16"/>
                <w:szCs w:val="16"/>
                <w:color w:val="auto"/>
              </w:rPr>
            </w:pPr>
          </w:p>
        </w:tc>
      </w:tr>
      <w:tr>
        <w:trPr>
          <w:trHeight w:val="188"/>
        </w:trPr>
        <w:tc>
          <w:tcPr>
            <w:tcW w:w="880" w:type="dxa"/>
            <w:vAlign w:val="bottom"/>
          </w:tcPr>
          <w:p>
            <w:pPr>
              <w:ind w:left="480"/>
              <w:spacing w:after="0"/>
              <w:rPr>
                <w:sz w:val="20"/>
                <w:szCs w:val="20"/>
                <w:color w:val="auto"/>
              </w:rPr>
            </w:pPr>
            <w:r>
              <w:rPr>
                <w:rFonts w:ascii="Courier New" w:cs="Courier New" w:eastAsia="Courier New" w:hAnsi="Courier New"/>
                <w:sz w:val="16"/>
                <w:szCs w:val="16"/>
                <w:color w:val="auto"/>
              </w:rPr>
              <w:t>5.1</w:t>
            </w:r>
          </w:p>
        </w:tc>
        <w:tc>
          <w:tcPr>
            <w:tcW w:w="2640" w:type="dxa"/>
            <w:vAlign w:val="bottom"/>
          </w:tcPr>
          <w:p>
            <w:pPr>
              <w:ind w:left="400"/>
              <w:spacing w:after="0"/>
              <w:rPr>
                <w:sz w:val="20"/>
                <w:szCs w:val="20"/>
                <w:color w:val="auto"/>
              </w:rPr>
            </w:pPr>
            <w:r>
              <w:rPr>
                <w:rFonts w:ascii="Courier New" w:cs="Courier New" w:eastAsia="Courier New" w:hAnsi="Courier New"/>
                <w:sz w:val="16"/>
                <w:szCs w:val="16"/>
                <w:color w:val="auto"/>
              </w:rPr>
              <w:t>Opinion of Venture Law</w:t>
            </w:r>
          </w:p>
        </w:tc>
        <w:tc>
          <w:tcPr>
            <w:tcW w:w="4300" w:type="dxa"/>
            <w:vAlign w:val="bottom"/>
          </w:tcPr>
          <w:p>
            <w:pPr>
              <w:spacing w:after="0"/>
              <w:rPr>
                <w:sz w:val="20"/>
                <w:szCs w:val="20"/>
                <w:color w:val="auto"/>
              </w:rPr>
            </w:pPr>
            <w:r>
              <w:rPr>
                <w:rFonts w:ascii="Courier New" w:cs="Courier New" w:eastAsia="Courier New" w:hAnsi="Courier New"/>
                <w:sz w:val="16"/>
                <w:szCs w:val="16"/>
                <w:color w:val="auto"/>
              </w:rPr>
              <w:t>Group,  a  Professional  Corporation,  as to</w:t>
            </w:r>
          </w:p>
        </w:tc>
      </w:tr>
      <w:tr>
        <w:trPr>
          <w:trHeight w:val="188"/>
        </w:trPr>
        <w:tc>
          <w:tcPr>
            <w:tcW w:w="88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Courier New" w:cs="Courier New" w:eastAsia="Courier New" w:hAnsi="Courier New"/>
                <w:sz w:val="16"/>
                <w:szCs w:val="16"/>
                <w:color w:val="auto"/>
              </w:rPr>
              <w:t>legality of securities</w:t>
            </w:r>
          </w:p>
        </w:tc>
        <w:tc>
          <w:tcPr>
            <w:tcW w:w="4300" w:type="dxa"/>
            <w:vAlign w:val="bottom"/>
          </w:tcPr>
          <w:p>
            <w:pPr>
              <w:spacing w:after="0"/>
              <w:rPr>
                <w:sz w:val="20"/>
                <w:szCs w:val="20"/>
                <w:color w:val="auto"/>
              </w:rPr>
            </w:pPr>
            <w:r>
              <w:rPr>
                <w:rFonts w:ascii="Courier New" w:cs="Courier New" w:eastAsia="Courier New" w:hAnsi="Courier New"/>
                <w:sz w:val="16"/>
                <w:szCs w:val="16"/>
                <w:color w:val="auto"/>
              </w:rPr>
              <w:t>being registered.</w:t>
            </w:r>
          </w:p>
        </w:tc>
      </w:tr>
      <w:tr>
        <w:trPr>
          <w:trHeight w:val="188"/>
        </w:trPr>
        <w:tc>
          <w:tcPr>
            <w:tcW w:w="880" w:type="dxa"/>
            <w:vAlign w:val="bottom"/>
          </w:tcPr>
          <w:p>
            <w:pPr>
              <w:ind w:left="480"/>
              <w:spacing w:after="0"/>
              <w:rPr>
                <w:sz w:val="20"/>
                <w:szCs w:val="20"/>
                <w:color w:val="auto"/>
              </w:rPr>
            </w:pPr>
            <w:r>
              <w:rPr>
                <w:rFonts w:ascii="Courier New" w:cs="Courier New" w:eastAsia="Courier New" w:hAnsi="Courier New"/>
                <w:sz w:val="16"/>
                <w:szCs w:val="16"/>
                <w:color w:val="auto"/>
                <w:w w:val="98"/>
              </w:rPr>
              <w:t>23.1</w:t>
            </w:r>
          </w:p>
        </w:tc>
        <w:tc>
          <w:tcPr>
            <w:tcW w:w="2640" w:type="dxa"/>
            <w:vAlign w:val="bottom"/>
          </w:tcPr>
          <w:p>
            <w:pPr>
              <w:ind w:left="400"/>
              <w:spacing w:after="0"/>
              <w:rPr>
                <w:sz w:val="20"/>
                <w:szCs w:val="20"/>
                <w:color w:val="auto"/>
              </w:rPr>
            </w:pPr>
            <w:r>
              <w:rPr>
                <w:rFonts w:ascii="Courier New" w:cs="Courier New" w:eastAsia="Courier New" w:hAnsi="Courier New"/>
                <w:sz w:val="16"/>
                <w:szCs w:val="16"/>
                <w:color w:val="auto"/>
              </w:rPr>
              <w:t>Consent of Venture Law</w:t>
            </w:r>
          </w:p>
        </w:tc>
        <w:tc>
          <w:tcPr>
            <w:tcW w:w="4300" w:type="dxa"/>
            <w:vAlign w:val="bottom"/>
          </w:tcPr>
          <w:p>
            <w:pPr>
              <w:spacing w:after="0"/>
              <w:rPr>
                <w:sz w:val="20"/>
                <w:szCs w:val="20"/>
                <w:color w:val="auto"/>
              </w:rPr>
            </w:pPr>
            <w:r>
              <w:rPr>
                <w:rFonts w:ascii="Courier New" w:cs="Courier New" w:eastAsia="Courier New" w:hAnsi="Courier New"/>
                <w:sz w:val="16"/>
                <w:szCs w:val="16"/>
                <w:color w:val="auto"/>
              </w:rPr>
              <w:t>Group, a Professional  Corporation (included</w:t>
            </w:r>
          </w:p>
        </w:tc>
      </w:tr>
      <w:tr>
        <w:trPr>
          <w:trHeight w:val="188"/>
        </w:trPr>
        <w:tc>
          <w:tcPr>
            <w:tcW w:w="88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Courier New" w:cs="Courier New" w:eastAsia="Courier New" w:hAnsi="Courier New"/>
                <w:sz w:val="16"/>
                <w:szCs w:val="16"/>
                <w:color w:val="auto"/>
              </w:rPr>
              <w:t>in Exhibit 5.1 hereto).</w:t>
            </w:r>
          </w:p>
        </w:tc>
        <w:tc>
          <w:tcPr>
            <w:tcW w:w="4300" w:type="dxa"/>
            <w:vAlign w:val="bottom"/>
          </w:tcPr>
          <w:p>
            <w:pPr>
              <w:spacing w:after="0"/>
              <w:rPr>
                <w:sz w:val="16"/>
                <w:szCs w:val="16"/>
                <w:color w:val="auto"/>
              </w:rPr>
            </w:pPr>
          </w:p>
        </w:tc>
      </w:tr>
      <w:tr>
        <w:trPr>
          <w:trHeight w:val="188"/>
        </w:trPr>
        <w:tc>
          <w:tcPr>
            <w:tcW w:w="880" w:type="dxa"/>
            <w:vAlign w:val="bottom"/>
          </w:tcPr>
          <w:p>
            <w:pPr>
              <w:ind w:left="480"/>
              <w:spacing w:after="0"/>
              <w:rPr>
                <w:sz w:val="20"/>
                <w:szCs w:val="20"/>
                <w:color w:val="auto"/>
              </w:rPr>
            </w:pPr>
            <w:r>
              <w:rPr>
                <w:rFonts w:ascii="Courier New" w:cs="Courier New" w:eastAsia="Courier New" w:hAnsi="Courier New"/>
                <w:sz w:val="16"/>
                <w:szCs w:val="16"/>
                <w:color w:val="auto"/>
                <w:w w:val="98"/>
              </w:rPr>
              <w:t>23.2</w:t>
            </w:r>
          </w:p>
        </w:tc>
        <w:tc>
          <w:tcPr>
            <w:tcW w:w="2640" w:type="dxa"/>
            <w:vAlign w:val="bottom"/>
          </w:tcPr>
          <w:p>
            <w:pPr>
              <w:ind w:left="400"/>
              <w:spacing w:after="0"/>
              <w:rPr>
                <w:sz w:val="20"/>
                <w:szCs w:val="20"/>
                <w:color w:val="auto"/>
              </w:rPr>
            </w:pPr>
            <w:r>
              <w:rPr>
                <w:rFonts w:ascii="Courier New" w:cs="Courier New" w:eastAsia="Courier New" w:hAnsi="Courier New"/>
                <w:sz w:val="16"/>
                <w:szCs w:val="16"/>
                <w:color w:val="auto"/>
              </w:rPr>
              <w:t>Consent of Independent</w:t>
            </w:r>
          </w:p>
        </w:tc>
        <w:tc>
          <w:tcPr>
            <w:tcW w:w="4300" w:type="dxa"/>
            <w:vAlign w:val="bottom"/>
          </w:tcPr>
          <w:p>
            <w:pPr>
              <w:spacing w:after="0"/>
              <w:rPr>
                <w:sz w:val="20"/>
                <w:szCs w:val="20"/>
                <w:color w:val="auto"/>
              </w:rPr>
            </w:pPr>
            <w:r>
              <w:rPr>
                <w:rFonts w:ascii="Courier New" w:cs="Courier New" w:eastAsia="Courier New" w:hAnsi="Courier New"/>
                <w:sz w:val="16"/>
                <w:szCs w:val="16"/>
                <w:color w:val="auto"/>
              </w:rPr>
              <w:t>Auditors (see page 6).</w:t>
            </w:r>
          </w:p>
        </w:tc>
      </w:tr>
      <w:tr>
        <w:trPr>
          <w:trHeight w:val="188"/>
        </w:trPr>
        <w:tc>
          <w:tcPr>
            <w:tcW w:w="880" w:type="dxa"/>
            <w:vAlign w:val="bottom"/>
          </w:tcPr>
          <w:p>
            <w:pPr>
              <w:ind w:left="480"/>
              <w:spacing w:after="0"/>
              <w:rPr>
                <w:sz w:val="20"/>
                <w:szCs w:val="20"/>
                <w:color w:val="auto"/>
              </w:rPr>
            </w:pPr>
            <w:r>
              <w:rPr>
                <w:rFonts w:ascii="Courier New" w:cs="Courier New" w:eastAsia="Courier New" w:hAnsi="Courier New"/>
                <w:sz w:val="16"/>
                <w:szCs w:val="16"/>
                <w:color w:val="auto"/>
                <w:w w:val="98"/>
              </w:rPr>
              <w:t>24.1</w:t>
            </w:r>
          </w:p>
        </w:tc>
        <w:tc>
          <w:tcPr>
            <w:tcW w:w="69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Powers of Attorney (see page 5).</w:t>
            </w:r>
          </w:p>
        </w:tc>
      </w:tr>
    </w:tbl>
    <w:p>
      <w:pPr>
        <w:spacing w:after="0" w:line="19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9.</w:t>
        <w:tab/>
        <w:t>Undertakings.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5" w:lineRule="exact"/>
        <w:rPr>
          <w:sz w:val="20"/>
          <w:szCs w:val="20"/>
          <w:color w:val="auto"/>
        </w:rPr>
      </w:pPr>
    </w:p>
    <w:p>
      <w:pPr>
        <w:jc w:val="both"/>
        <w:ind w:right="2399" w:firstLine="880"/>
        <w:spacing w:after="0" w:line="249" w:lineRule="auto"/>
        <w:tabs>
          <w:tab w:leader="none" w:pos="127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187" w:lineRule="exact"/>
        <w:rPr>
          <w:rFonts w:ascii="Courier New" w:cs="Courier New" w:eastAsia="Courier New" w:hAnsi="Courier New"/>
          <w:sz w:val="16"/>
          <w:szCs w:val="16"/>
          <w:color w:val="auto"/>
        </w:rPr>
      </w:pPr>
    </w:p>
    <w:p>
      <w:pPr>
        <w:jc w:val="both"/>
        <w:ind w:right="2399" w:firstLine="880"/>
        <w:spacing w:after="0" w:line="249" w:lineRule="auto"/>
        <w:tabs>
          <w:tab w:leader="none" w:pos="127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jc w:val="both"/>
        <w:ind w:right="2399" w:firstLine="880"/>
        <w:spacing w:after="0" w:line="250" w:lineRule="auto"/>
        <w:tabs>
          <w:tab w:leader="none" w:pos="127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itself is against public policy as expressed in the Securities Act and will be governed by the final adjudication of such issue.</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[Signature Pages Follow]</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68" w:right="1440" w:bottom="1440" w:gutter="0" w:footer="0" w:header="0"/>
        </w:sectPr>
      </w:pPr>
    </w:p>
    <w:bookmarkStart w:id="3" w:name="page4"/>
    <w:bookmarkEnd w:id="3"/>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383"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LANDEC CORPORATION, a corporation organized and existing under the laws of the State of California, certifies that it has reasonable grounds to believe that it meets all of the requirements for filing on Form S-8 and has duly caused this Registration Statement to be signed on its behalf by the undersigned, thereunto duly authorized, in the City of Menlo Park, State of California, on this June 12, 1997.</w:t>
      </w:r>
    </w:p>
    <w:p>
      <w:pPr>
        <w:spacing w:after="0" w:line="18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LANDEC CORPORATION</w:t>
      </w:r>
    </w:p>
    <w:p>
      <w:pPr>
        <w:sectPr>
          <w:pgSz w:w="11900" w:h="16838" w:orient="portrait"/>
          <w:cols w:equalWidth="0" w:num="1">
            <w:col w:w="10219"/>
          </w:cols>
          <w:pgMar w:left="240" w:top="680" w:right="1440" w:bottom="1440" w:gutter="0" w:footer="0" w:header="0"/>
        </w:sectPr>
      </w:pPr>
    </w:p>
    <w:p>
      <w:pPr>
        <w:spacing w:after="0" w:line="383"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Gary T.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Gary T. Steele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&amp;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195" w:lineRule="exact"/>
        <w:rPr>
          <w:sz w:val="20"/>
          <w:szCs w:val="20"/>
          <w:color w:val="auto"/>
        </w:rPr>
      </w:pPr>
    </w:p>
    <w:p>
      <w:pPr>
        <w:sectPr>
          <w:pgSz w:w="11900" w:h="16838" w:orient="portrait"/>
          <w:cols w:equalWidth="0" w:num="2">
            <w:col w:w="4700" w:space="480"/>
            <w:col w:w="5039"/>
          </w:cols>
          <w:pgMar w:left="240" w:top="680"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80" w:right="1440" w:bottom="1440" w:gutter="0" w:footer="0" w:header="0"/>
          <w:type w:val="continuous"/>
        </w:sectPr>
      </w:pPr>
    </w:p>
    <w:bookmarkStart w:id="4" w:name="page5"/>
    <w:bookmarkEnd w:id="4"/>
    <w:p>
      <w:pPr>
        <w:ind w:left="3120"/>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jc w:val="both"/>
        <w:ind w:right="540" w:firstLine="489"/>
        <w:spacing w:after="0" w:line="249"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Gary T. Steele and Joy T. Fry, jointly and severally, his or her attorneys-in-fact and agents, each with the power of substitution and resubstitution, for him or her and in his or her name, place or stead, in any and all capacities, to sign any amendments to this Registration Statement on Form S-8, and to file such amendments, together with exhibits and other documents in connection therewith, with the Securities and Exchange Commission, granting to each attorney-in-fact and agent, full power and authority to do and perform each and every act and thing requisite and necessary to be done in and about the premises, as fully as he or she might or could do in person, and ratifying and confirming all that the attorneys-in-fact and agents, or his or her substitute or substitutes, may do or cause to be done by virtue hereof.</w:t>
      </w:r>
    </w:p>
    <w:p>
      <w:pPr>
        <w:spacing w:after="0" w:line="200" w:lineRule="exact"/>
        <w:rPr>
          <w:sz w:val="20"/>
          <w:szCs w:val="20"/>
          <w:color w:val="auto"/>
        </w:rPr>
      </w:pPr>
    </w:p>
    <w:p>
      <w:pPr>
        <w:spacing w:after="0" w:line="363" w:lineRule="exact"/>
        <w:rPr>
          <w:sz w:val="20"/>
          <w:szCs w:val="20"/>
          <w:color w:val="auto"/>
        </w:rPr>
      </w:pPr>
    </w:p>
    <w:p>
      <w:pPr>
        <w:jc w:val="both"/>
        <w:ind w:right="540"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61" w:lineRule="exact"/>
        <w:rPr>
          <w:sz w:val="20"/>
          <w:szCs w:val="20"/>
          <w:color w:val="auto"/>
        </w:rPr>
      </w:pPr>
    </w:p>
    <w:p>
      <w:pPr>
        <w:ind w:left="1460"/>
        <w:spacing w:after="0"/>
        <w:tabs>
          <w:tab w:leader="none" w:pos="584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7" w:lineRule="exact"/>
        <w:rPr>
          <w:sz w:val="20"/>
          <w:szCs w:val="20"/>
          <w:color w:val="auto"/>
        </w:rPr>
      </w:pPr>
    </w:p>
    <w:p>
      <w:pPr>
        <w:ind w:left="1460"/>
        <w:spacing w:after="0"/>
        <w:tabs>
          <w:tab w:leader="none" w:pos="5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83"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Gary T. Steele</w:t>
      </w:r>
      <w:r>
        <w:rPr>
          <w:sz w:val="20"/>
          <w:szCs w:val="20"/>
          <w:color w:val="auto"/>
        </w:rPr>
        <w:tab/>
      </w:r>
      <w:r>
        <w:rPr>
          <w:rFonts w:ascii="Courier New" w:cs="Courier New" w:eastAsia="Courier New" w:hAnsi="Courier New"/>
          <w:sz w:val="16"/>
          <w:szCs w:val="16"/>
          <w:color w:val="auto"/>
        </w:rPr>
        <w:t>President, Chief Executive Officer and</w:t>
      </w:r>
    </w:p>
    <w:p>
      <w:pPr>
        <w:spacing w:after="0" w:line="7"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Chairman of the Board of Directors</w:t>
      </w:r>
    </w:p>
    <w:p>
      <w:pPr>
        <w:spacing w:after="0" w:line="7"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6"/>
          <w:szCs w:val="16"/>
          <w:color w:val="auto"/>
        </w:rPr>
        <w:t>Gary T. Steele</w:t>
      </w:r>
      <w:r>
        <w:rPr>
          <w:sz w:val="20"/>
          <w:szCs w:val="20"/>
          <w:color w:val="auto"/>
        </w:rPr>
        <w:tab/>
      </w:r>
      <w:r>
        <w:rPr>
          <w:rFonts w:ascii="Courier New" w:cs="Courier New" w:eastAsia="Courier New" w:hAnsi="Courier New"/>
          <w:sz w:val="16"/>
          <w:szCs w:val="16"/>
          <w:color w:val="auto"/>
        </w:rPr>
        <w:t>(Principal Executive Officer)</w:t>
      </w:r>
    </w:p>
    <w:p>
      <w:pPr>
        <w:spacing w:after="0" w:line="19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Joy T. Fry</w:t>
      </w:r>
      <w:r>
        <w:rPr>
          <w:sz w:val="20"/>
          <w:szCs w:val="20"/>
          <w:color w:val="auto"/>
        </w:rPr>
        <w:tab/>
      </w:r>
      <w:r>
        <w:rPr>
          <w:rFonts w:ascii="Courier New" w:cs="Courier New" w:eastAsia="Courier New" w:hAnsi="Courier New"/>
          <w:sz w:val="16"/>
          <w:szCs w:val="16"/>
          <w:color w:val="auto"/>
        </w:rPr>
        <w:t>Vice President, Finance and Administration</w:t>
      </w:r>
    </w:p>
    <w:p>
      <w:pPr>
        <w:spacing w:after="0" w:line="7"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and Chief Financial Officer (Principal</w:t>
      </w:r>
    </w:p>
    <w:p>
      <w:pPr>
        <w:spacing w:after="0" w:line="7"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6"/>
          <w:szCs w:val="16"/>
          <w:color w:val="auto"/>
        </w:rPr>
        <w:t>Joy T. Fry</w:t>
      </w:r>
      <w:r>
        <w:rPr>
          <w:sz w:val="20"/>
          <w:szCs w:val="20"/>
          <w:color w:val="auto"/>
        </w:rPr>
        <w:tab/>
      </w:r>
      <w:r>
        <w:rPr>
          <w:rFonts w:ascii="Courier New" w:cs="Courier New" w:eastAsia="Courier New" w:hAnsi="Courier New"/>
          <w:sz w:val="16"/>
          <w:szCs w:val="16"/>
          <w:color w:val="auto"/>
        </w:rPr>
        <w:t>Financial and Accounting Officer)</w:t>
      </w:r>
    </w:p>
    <w:p>
      <w:pPr>
        <w:spacing w:after="0" w:line="19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Ray F. Stewart</w:t>
      </w:r>
      <w:r>
        <w:rPr>
          <w:sz w:val="20"/>
          <w:szCs w:val="20"/>
          <w:color w:val="auto"/>
        </w:rPr>
        <w:tab/>
      </w:r>
      <w:r>
        <w:rPr>
          <w:rFonts w:ascii="Courier New" w:cs="Courier New" w:eastAsia="Courier New" w:hAnsi="Courier New"/>
          <w:sz w:val="16"/>
          <w:szCs w:val="16"/>
          <w:color w:val="auto"/>
        </w:rPr>
        <w:t>Vice President, Technology and Director</w:t>
      </w:r>
    </w:p>
    <w:p>
      <w:pPr>
        <w:spacing w:after="0" w:line="7" w:lineRule="exact"/>
        <w:rPr>
          <w:sz w:val="20"/>
          <w:szCs w:val="20"/>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Ray F. Stewart, Ph.D.</w:t>
      </w:r>
    </w:p>
    <w:p>
      <w:pPr>
        <w:spacing w:after="0" w:line="19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Stephen E. Halprin</w:t>
      </w:r>
      <w:r>
        <w:rPr>
          <w:sz w:val="20"/>
          <w:szCs w:val="20"/>
          <w:color w:val="auto"/>
        </w:rPr>
        <w:tab/>
      </w:r>
      <w:r>
        <w:rPr>
          <w:rFonts w:ascii="Courier New" w:cs="Courier New" w:eastAsia="Courier New" w:hAnsi="Courier New"/>
          <w:sz w:val="16"/>
          <w:szCs w:val="16"/>
          <w:color w:val="auto"/>
        </w:rPr>
        <w:t>Director</w:t>
      </w:r>
    </w:p>
    <w:p>
      <w:pPr>
        <w:spacing w:after="0" w:line="7" w:lineRule="exact"/>
        <w:rPr>
          <w:sz w:val="20"/>
          <w:szCs w:val="20"/>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Stephen E. Halprin</w:t>
      </w:r>
    </w:p>
    <w:p>
      <w:pPr>
        <w:spacing w:after="0" w:line="19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Kirby L. Cramer</w:t>
      </w:r>
      <w:r>
        <w:rPr>
          <w:sz w:val="20"/>
          <w:szCs w:val="20"/>
          <w:color w:val="auto"/>
        </w:rPr>
        <w:tab/>
      </w:r>
      <w:r>
        <w:rPr>
          <w:rFonts w:ascii="Courier New" w:cs="Courier New" w:eastAsia="Courier New" w:hAnsi="Courier New"/>
          <w:sz w:val="16"/>
          <w:szCs w:val="16"/>
          <w:color w:val="auto"/>
        </w:rPr>
        <w:t>Director</w:t>
      </w:r>
    </w:p>
    <w:p>
      <w:pPr>
        <w:spacing w:after="0" w:line="7" w:lineRule="exact"/>
        <w:rPr>
          <w:sz w:val="20"/>
          <w:szCs w:val="20"/>
          <w:color w:val="auto"/>
        </w:rPr>
      </w:pPr>
    </w:p>
    <w:p>
      <w:pPr>
        <w:ind w:left="200" w:hanging="200"/>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Kirby L. Cramer</w:t>
      </w:r>
    </w:p>
    <w:p>
      <w:pPr>
        <w:spacing w:after="0" w:line="19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Richard S. Schneider</w:t>
      </w:r>
      <w:r>
        <w:rPr>
          <w:sz w:val="20"/>
          <w:szCs w:val="20"/>
          <w:color w:val="auto"/>
        </w:rPr>
        <w:tab/>
      </w:r>
      <w:r>
        <w:rPr>
          <w:rFonts w:ascii="Courier New" w:cs="Courier New" w:eastAsia="Courier New" w:hAnsi="Courier New"/>
          <w:sz w:val="16"/>
          <w:szCs w:val="16"/>
          <w:color w:val="auto"/>
        </w:rPr>
        <w:t>Director</w:t>
      </w:r>
    </w:p>
    <w:p>
      <w:pPr>
        <w:spacing w:after="0" w:line="7" w:lineRule="exact"/>
        <w:rPr>
          <w:sz w:val="20"/>
          <w:szCs w:val="20"/>
          <w:color w:val="auto"/>
        </w:rPr>
      </w:pPr>
    </w:p>
    <w:p>
      <w:pPr>
        <w:ind w:left="200" w:hanging="200"/>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S. Schneider, Ph.D.</w:t>
      </w:r>
    </w:p>
    <w:p>
      <w:pPr>
        <w:spacing w:after="0" w:line="19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Richard Dulude</w:t>
      </w:r>
      <w:r>
        <w:rPr>
          <w:sz w:val="20"/>
          <w:szCs w:val="20"/>
          <w:color w:val="auto"/>
        </w:rPr>
        <w:tab/>
      </w:r>
      <w:r>
        <w:rPr>
          <w:rFonts w:ascii="Courier New" w:cs="Courier New" w:eastAsia="Courier New" w:hAnsi="Courier New"/>
          <w:sz w:val="16"/>
          <w:szCs w:val="16"/>
          <w:color w:val="auto"/>
        </w:rPr>
        <w:t>Director</w:t>
      </w:r>
    </w:p>
    <w:p>
      <w:pPr>
        <w:spacing w:after="0" w:line="7" w:lineRule="exact"/>
        <w:rPr>
          <w:sz w:val="20"/>
          <w:szCs w:val="20"/>
          <w:color w:val="auto"/>
        </w:rPr>
      </w:pPr>
    </w:p>
    <w:p>
      <w:pPr>
        <w:ind w:left="200" w:hanging="200"/>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Dulude</w:t>
      </w:r>
    </w:p>
    <w:p>
      <w:pPr>
        <w:spacing w:after="0" w:line="19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/s/ Damion E. Wicker</w:t>
      </w:r>
      <w:r>
        <w:rPr>
          <w:sz w:val="20"/>
          <w:szCs w:val="20"/>
          <w:color w:val="auto"/>
        </w:rPr>
        <w:tab/>
      </w:r>
      <w:r>
        <w:rPr>
          <w:rFonts w:ascii="Courier New" w:cs="Courier New" w:eastAsia="Courier New" w:hAnsi="Courier New"/>
          <w:sz w:val="16"/>
          <w:szCs w:val="16"/>
          <w:color w:val="auto"/>
        </w:rPr>
        <w:t>Director</w:t>
      </w:r>
    </w:p>
    <w:p>
      <w:pPr>
        <w:spacing w:after="0" w:line="7" w:lineRule="exact"/>
        <w:rPr>
          <w:sz w:val="20"/>
          <w:szCs w:val="20"/>
          <w:color w:val="auto"/>
        </w:rPr>
      </w:pPr>
    </w:p>
    <w:p>
      <w:pPr>
        <w:ind w:left="200" w:hanging="200"/>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Damion E. Wicker, M.D.</w:t>
      </w:r>
    </w:p>
    <w:p>
      <w:pPr>
        <w:spacing w:after="0" w:line="383"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Date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1997</w:t>
      </w:r>
    </w:p>
    <w:p>
      <w:pPr>
        <w:sectPr>
          <w:pgSz w:w="11900" w:h="16838" w:orient="portrait"/>
          <w:cols w:equalWidth="0" w:num="2">
            <w:col w:w="8360" w:space="720"/>
            <w:col w:w="1280"/>
          </w:cols>
          <w:pgMar w:left="240" w:top="680" w:right="1299" w:bottom="1440" w:gutter="0" w:footer="0" w:header="0"/>
        </w:sectPr>
      </w:pPr>
    </w:p>
    <w:bookmarkStart w:id="5" w:name="page6"/>
    <w:bookmarkEnd w:id="5"/>
    <w:p>
      <w:pPr>
        <w:jc w:val="center"/>
        <w:ind w:right="3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Washington, D.C. 20549</w:t>
      </w:r>
    </w:p>
    <w:p>
      <w:pPr>
        <w:spacing w:after="0" w:line="38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EXHIBITS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19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LANDEC CORPORATION</w:t>
      </w:r>
    </w:p>
    <w:p>
      <w:pPr>
        <w:spacing w:after="0" w:line="19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June 12, 1997</w:t>
      </w:r>
    </w:p>
    <w:p>
      <w:pPr>
        <w:spacing w:after="0" w:line="383"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868" w:right="1440" w:bottom="1440" w:gutter="0" w:footer="0" w:header="0"/>
        </w:sectPr>
      </w:pPr>
    </w:p>
    <w:bookmarkStart w:id="6" w:name="page7"/>
    <w:bookmarkEnd w:id="6"/>
    <w:p>
      <w:pPr>
        <w:ind w:left="4580"/>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371" w:lineRule="exact"/>
        <w:rPr>
          <w:sz w:val="20"/>
          <w:szCs w:val="20"/>
          <w:color w:val="auto"/>
        </w:rPr>
      </w:pPr>
    </w:p>
    <w:p>
      <w:pPr>
        <w:jc w:val="right"/>
        <w:ind w:right="9339"/>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jc w:val="right"/>
        <w:ind w:right="9339"/>
        <w:spacing w:after="0"/>
        <w:rPr>
          <w:sz w:val="20"/>
          <w:szCs w:val="20"/>
          <w:color w:val="auto"/>
        </w:rPr>
      </w:pPr>
      <w:r>
        <w:rPr>
          <w:rFonts w:ascii="Courier New" w:cs="Courier New" w:eastAsia="Courier New" w:hAnsi="Courier New"/>
          <w:sz w:val="16"/>
          <w:szCs w:val="16"/>
          <w:color w:val="auto"/>
        </w:rPr>
        <w:t>Number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Opinion of Venture Law Group, a Professional Corporation.</w:t>
      </w:r>
    </w:p>
    <w:p>
      <w:pPr>
        <w:spacing w:after="0" w:line="195" w:lineRule="exact"/>
        <w:rPr>
          <w:sz w:val="20"/>
          <w:szCs w:val="20"/>
          <w:color w:val="auto"/>
        </w:rPr>
      </w:pPr>
    </w:p>
    <w:p>
      <w:pPr>
        <w:ind w:left="1160" w:right="3379" w:hanging="976"/>
        <w:spacing w:after="0" w:line="252" w:lineRule="auto"/>
        <w:tabs>
          <w:tab w:leader="none" w:pos="114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Venture Law Group, a Professional Corporation (included in Exhibit 5.1).</w:t>
      </w:r>
    </w:p>
    <w:p>
      <w:pPr>
        <w:spacing w:after="0" w:line="183"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Independent Auditors.</w:t>
      </w:r>
    </w:p>
    <w:p>
      <w:pPr>
        <w:spacing w:after="0" w:line="195"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Powers of Attorney (see p. 5).</w:t>
      </w: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019"/>
          </w:cols>
          <w:pgMar w:left="440" w:top="1244" w:right="1440" w:bottom="1440" w:gutter="0" w:footer="0" w:header="0"/>
        </w:sectPr>
      </w:pPr>
    </w:p>
    <w:bookmarkStart w:id="7" w:name="page8"/>
    <w:bookmarkEnd w:id="7"/>
    <w:p>
      <w:pPr>
        <w:ind w:left="3420"/>
        <w:spacing w:after="0"/>
        <w:rPr>
          <w:sz w:val="20"/>
          <w:szCs w:val="20"/>
          <w:color w:val="auto"/>
        </w:rPr>
      </w:pPr>
      <w:r>
        <w:rPr>
          <w:rFonts w:ascii="Courier New" w:cs="Courier New" w:eastAsia="Courier New" w:hAnsi="Courier New"/>
          <w:sz w:val="16"/>
          <w:szCs w:val="16"/>
          <w:color w:val="auto"/>
        </w:rPr>
        <w:t>EXHIBIT 5.1</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OPINION OF COUNSEL</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June 11, 1997</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Landec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3603 Haven Avenue</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6"/>
          <w:szCs w:val="16"/>
          <w:color w:val="auto"/>
        </w:rPr>
        <w:t>Menlo Park, CA</w:t>
        <w:tab/>
        <w:t>94025-1010</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have examined the Registration Statement on Form S-8 (the "Registration Statement") to be filed by you with the Securities and Exchange Commission (the "Commission") on or about June 12, 1997 in connection with the registration under the Securities Act of 1933, as amended, of a total of 750,000 shares of your Common Stock reserved for issuance under the 1996 Stock Option Plan and 750,000 shares of your Common Stock reserved for issuance under the 1996 Non-Executive Stock Option Plan (collectively the "Shares"). As your counsel in connection with this transaction, we have examined the proceedings taken and are familiar with the proceedings proposed to be taken by you in connection with the sale and issuance of the Shares.</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It is our opinion that upon conclusion of the proceedings being taken or contemplated by us, as your counsel, to be taken prior to the issuance of the Shares, and upon completion of the proceedings being taken in order to permit such transactions to be carried out in accordance with the securities laws of the various states where required, the Shares when issued and sold in the manner described in the Registration Statement will be legally and validly issued, fully paid and non-assessable.</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We consent to the use of this opinion as an exhibit to the Registration Statement and further consent to the use of our name wherever appearing in the Registration Statement, including the Prospectus constituting a part thereof, and in any amendment thereto.</w:t>
      </w:r>
    </w:p>
    <w:p>
      <w:pPr>
        <w:spacing w:after="0" w:line="376"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Sincerely,</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VENTURE LAW GROUP</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/s/ Venture Law Group</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THN</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30" w:right="1440" w:bottom="1440" w:gutter="0" w:footer="0" w:header="0"/>
        </w:sectPr>
      </w:pPr>
    </w:p>
    <w:bookmarkStart w:id="8" w:name="page9"/>
    <w:bookmarkEnd w:id="8"/>
    <w:p>
      <w:pPr>
        <w:jc w:val="center"/>
        <w:ind w:right="3599"/>
        <w:spacing w:after="0"/>
        <w:rPr>
          <w:sz w:val="20"/>
          <w:szCs w:val="20"/>
          <w:color w:val="auto"/>
        </w:rPr>
      </w:pPr>
      <w:r>
        <w:rPr>
          <w:rFonts w:ascii="Courier New" w:cs="Courier New" w:eastAsia="Courier New" w:hAnsi="Courier New"/>
          <w:sz w:val="16"/>
          <w:szCs w:val="16"/>
          <w:color w:val="auto"/>
        </w:rPr>
        <w:t>EXHIBIT 23.1</w:t>
      </w:r>
    </w:p>
    <w:p>
      <w:pPr>
        <w:spacing w:after="0" w:line="19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CONSENT OF COUNSEL</w:t>
      </w:r>
    </w:p>
    <w:p>
      <w:pPr>
        <w:spacing w:after="0" w:line="195"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(See Exhibit 5.1)</w:t>
      </w:r>
    </w:p>
    <w:p>
      <w:pPr>
        <w:spacing w:after="0" w:line="19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330" w:right="1440" w:bottom="1440" w:gutter="0" w:footer="0" w:header="0"/>
        </w:sectPr>
      </w:pPr>
    </w:p>
    <w:bookmarkStart w:id="9" w:name="page10"/>
    <w:bookmarkEnd w:id="9"/>
    <w:p>
      <w:pPr>
        <w:ind w:left="3320"/>
        <w:spacing w:after="0"/>
        <w:rPr>
          <w:sz w:val="20"/>
          <w:szCs w:val="20"/>
          <w:color w:val="auto"/>
        </w:rPr>
      </w:pPr>
      <w:r>
        <w:rPr>
          <w:rFonts w:ascii="Courier New" w:cs="Courier New" w:eastAsia="Courier New" w:hAnsi="Courier New"/>
          <w:sz w:val="16"/>
          <w:szCs w:val="16"/>
          <w:color w:val="auto"/>
        </w:rPr>
        <w:t>EXHIBIT 23.2</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CONSENT OF INDEPENDENT AUDITORS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(Form S-8) pertaining to the 1996 Stock Option Plan and 1996 Non-Executive Stock Option Plan of Landec Corporation of our report dated December 6, 1996, with respect to the consolidated financial statements and schedule of Landec Corporation included and incorporated by reference in its Annual Report (Form 10-K) for the year ended October 31, 1996 filed with the Securities and Exchange Commission.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Ernst &amp; Young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Palo Alto,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28, 1997</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30" w:right="1440" w:bottom="1440" w:gutter="0" w:footer="0" w:header="0"/>
        </w:sectPr>
      </w:pPr>
    </w:p>
    <w:bookmarkStart w:id="10" w:name="page11"/>
    <w:bookmarkEnd w:id="10"/>
    <w:p>
      <w:pPr>
        <w:ind w:left="2120"/>
        <w:spacing w:after="0"/>
        <w:rPr>
          <w:sz w:val="20"/>
          <w:szCs w:val="20"/>
          <w:color w:val="auto"/>
        </w:rPr>
      </w:pPr>
      <w:r>
        <w:rPr>
          <w:rFonts w:ascii="Courier New" w:cs="Courier New" w:eastAsia="Courier New" w:hAnsi="Courier New"/>
          <w:sz w:val="16"/>
          <w:szCs w:val="16"/>
          <w:color w:val="auto"/>
        </w:rPr>
        <w:t>EXHIBIT 24.1</w:t>
      </w:r>
    </w:p>
    <w:p>
      <w:pPr>
        <w:spacing w:after="0" w:line="195"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POWER OF ATTORNEY</w:t>
      </w:r>
    </w:p>
    <w:p>
      <w:pPr>
        <w:spacing w:after="0" w:line="19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(See page 5)</w:t>
      </w:r>
    </w:p>
    <w:p>
      <w:pPr>
        <w:spacing w:after="0" w:line="19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-13-</w:t>
      </w:r>
    </w:p>
    <w:sectPr>
      <w:pgSz w:w="11900" w:h="16838" w:orient="portrait"/>
      <w:cols w:equalWidth="0" w:num="1">
        <w:col w:w="9019"/>
      </w:cols>
      <w:pgMar w:left="1440" w:top="3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2019-12-14T07:28:44Z</dcterms:created>
  <dcterms:modified xsi:type="dcterms:W3CDTF">2019-12-14T07:28:44Z</dcterms:modified>
</cp:coreProperties>
</file>