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2"/>
        </w:rPr>
      </w:pPr>
      <w:r>
        <w:rPr>
          <w:rFonts w:ascii="Times New Roman;serif" w:hAnsi="Times New Roman;serif"/>
          <w:b w:val="false"/>
          <w:color w:val="000000"/>
          <w:sz w:val="22"/>
        </w:rPr>
        <w:t>UNITED STATES SECURITIES AND EXCHANGE COMMISSION</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Washington, D.C. 20549</w:t>
      </w:r>
    </w:p>
    <w:p>
      <w:pPr>
        <w:pStyle w:val="TextBody"/>
        <w:bidi w:val="0"/>
        <w:spacing w:lineRule="auto" w:line="288" w:before="160" w:after="20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lineRule="auto" w:line="288" w:before="0" w:after="200"/>
        <w:jc w:val="center"/>
        <w:rPr/>
      </w:pPr>
      <w:r>
        <w:rPr>
          <w:rFonts w:ascii="Times New Roman;serif" w:hAnsi="Times New Roman;serif"/>
          <w:b w:val="false"/>
          <w:color w:val="000000"/>
          <w:sz w:val="22"/>
        </w:rPr>
        <w:t xml:space="preserve">Date of Report (Date of earliest event reported): </w:t>
      </w:r>
      <w:r>
        <w:rPr>
          <w:rFonts w:ascii="Times New Roman;serif" w:hAnsi="Times New Roman;serif"/>
          <w:b/>
          <w:color w:val="000000"/>
          <w:sz w:val="22"/>
        </w:rPr>
        <w:t>January 14, 2026</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LIFECORE BIOMEDICAL, INC.</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(Exact name of registrant as specified in its charter)</w:t>
      </w:r>
    </w:p>
    <w:tbl>
      <w:tblPr>
        <w:tblW w:w="9442" w:type="dxa"/>
        <w:jc w:val="left"/>
        <w:tblInd w:w="0" w:type="dxa"/>
        <w:tblLayout w:type="fixed"/>
        <w:tblCellMar>
          <w:top w:w="28" w:type="dxa"/>
          <w:left w:w="28" w:type="dxa"/>
          <w:bottom w:w="28" w:type="dxa"/>
          <w:right w:w="28" w:type="dxa"/>
        </w:tblCellMar>
      </w:tblPr>
      <w:tblGrid>
        <w:gridCol w:w="1328"/>
        <w:gridCol w:w="1167"/>
        <w:gridCol w:w="1179"/>
        <w:gridCol w:w="109"/>
        <w:gridCol w:w="109"/>
        <w:gridCol w:w="109"/>
        <w:gridCol w:w="737"/>
        <w:gridCol w:w="737"/>
        <w:gridCol w:w="745"/>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000-27446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94-3025618</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331" w:type="dxa"/>
        <w:jc w:val="center"/>
        <w:tblInd w:w="0" w:type="dxa"/>
        <w:tblLayout w:type="fixed"/>
        <w:tblCellMar>
          <w:top w:w="28" w:type="dxa"/>
          <w:left w:w="28" w:type="dxa"/>
          <w:bottom w:w="28" w:type="dxa"/>
          <w:right w:w="28" w:type="dxa"/>
        </w:tblCellMar>
      </w:tblPr>
      <w:tblGrid>
        <w:gridCol w:w="610"/>
        <w:gridCol w:w="536"/>
        <w:gridCol w:w="536"/>
        <w:gridCol w:w="536"/>
        <w:gridCol w:w="536"/>
        <w:gridCol w:w="542"/>
        <w:gridCol w:w="303"/>
        <w:gridCol w:w="303"/>
        <w:gridCol w:w="429"/>
      </w:tblGrid>
      <w:tr>
        <w:trPr/>
        <w:tc>
          <w:tcPr>
            <w:tcW w:w="61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6"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erif" w:hAnsi="Times New Roman;serif"/>
                <w:b/>
                <w:color w:val="000000"/>
                <w:sz w:val="20"/>
              </w:rPr>
              <w:t>3515 Lyman Boulevard</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color w:val="000000"/>
                <w:sz w:val="20"/>
              </w:rPr>
              <w:t>Chaska,</w:t>
            </w:r>
          </w:p>
        </w:tc>
        <w:tc>
          <w:tcPr>
            <w:tcW w:w="16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Minnesota</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55318</w:t>
            </w:r>
          </w:p>
        </w:tc>
      </w:tr>
      <w:tr>
        <w:trPr/>
        <w:tc>
          <w:tcPr>
            <w:tcW w:w="329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(952) 368-4300</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(Registrant’s telephone number, including area code)</w:t>
      </w:r>
    </w:p>
    <w:p>
      <w:pPr>
        <w:pStyle w:val="TextBody"/>
        <w:bidi w:val="0"/>
        <w:spacing w:lineRule="auto" w:line="288" w:before="0" w:after="0"/>
        <w:jc w:val="center"/>
        <w:rPr/>
      </w:pPr>
      <w:r>
        <w:rPr>
          <w:color w:val="000000"/>
        </w:rPr>
        <w:t> </w:t>
      </w:r>
      <w:r>
        <w:rPr>
          <w:rFonts w:ascii="Times New Roman;serif" w:hAnsi="Times New Roman;serif"/>
          <w:b/>
          <w:color w:val="000000"/>
          <w:sz w:val="22"/>
        </w:rPr>
        <w:t>Not Applicable</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(Former name or former address, if changed since last report)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200"/>
        <w:jc w:val="both"/>
        <w:rPr>
          <w:color w:val="000000"/>
        </w:rPr>
      </w:pPr>
      <w:r>
        <w:rPr>
          <w:color w:val="000000"/>
        </w:rPr>
        <w:t>☐ </w:t>
      </w:r>
      <w:r>
        <w:rPr>
          <w:rFonts w:ascii="Times New Roman;serif" w:hAnsi="Times New Roman;serif"/>
          <w:b w:val="false"/>
          <w:color w:val="000000"/>
          <w:sz w:val="20"/>
        </w:rPr>
        <w:t>Written communication pursuant to Rule 425 under the Securities Act (17 CFR 230.425)</w:t>
      </w:r>
    </w:p>
    <w:p>
      <w:pPr>
        <w:pStyle w:val="TextBody"/>
        <w:bidi w:val="0"/>
        <w:spacing w:lineRule="auto" w:line="288" w:before="0" w:after="200"/>
        <w:jc w:val="both"/>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200"/>
        <w:jc w:val="both"/>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200"/>
        <w:jc w:val="both"/>
        <w:rPr>
          <w:color w:val="000000"/>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16" w:type="dxa"/>
        <w:jc w:val="center"/>
        <w:tblInd w:w="0" w:type="dxa"/>
        <w:tblLayout w:type="fixed"/>
        <w:tblCellMar>
          <w:top w:w="28" w:type="dxa"/>
          <w:left w:w="28" w:type="dxa"/>
          <w:bottom w:w="28" w:type="dxa"/>
          <w:right w:w="28" w:type="dxa"/>
        </w:tblCellMar>
      </w:tblPr>
      <w:tblGrid>
        <w:gridCol w:w="1346"/>
        <w:gridCol w:w="1186"/>
        <w:gridCol w:w="1202"/>
        <w:gridCol w:w="109"/>
        <w:gridCol w:w="109"/>
        <w:gridCol w:w="109"/>
        <w:gridCol w:w="419"/>
        <w:gridCol w:w="419"/>
        <w:gridCol w:w="421"/>
        <w:gridCol w:w="109"/>
        <w:gridCol w:w="109"/>
        <w:gridCol w:w="109"/>
        <w:gridCol w:w="956"/>
        <w:gridCol w:w="956"/>
        <w:gridCol w:w="1357"/>
      </w:tblGrid>
      <w:tr>
        <w:trPr/>
        <w:tc>
          <w:tcPr>
            <w:tcW w:w="13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LFCR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before="0" w:after="200"/>
        <w:jc w:val="both"/>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 xml:space="preserve">Item 5.02     Departure of Directors or Certain Officers; Election of Directors; Appointment of </w:t>
      </w:r>
    </w:p>
    <w:p>
      <w:pPr>
        <w:pStyle w:val="TextBody"/>
        <w:bidi w:val="0"/>
        <w:spacing w:lineRule="auto" w:line="268" w:before="0" w:after="200"/>
        <w:ind w:left="0" w:right="0" w:firstLine="1440"/>
        <w:jc w:val="both"/>
        <w:rPr>
          <w:rFonts w:ascii="Times New Roman;serif" w:hAnsi="Times New Roman;serif"/>
          <w:b/>
          <w:color w:val="000000"/>
          <w:sz w:val="22"/>
        </w:rPr>
      </w:pPr>
      <w:r>
        <w:rPr>
          <w:rFonts w:ascii="Times New Roman;serif" w:hAnsi="Times New Roman;serif"/>
          <w:b/>
          <w:color w:val="000000"/>
          <w:sz w:val="22"/>
        </w:rPr>
        <w:t>Certain Officers; Compensatory Arrangements of Certain Officers.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On January 14, 2026, the Compensation Committee of the Board of Directors of Lifecore Biomedical, Inc. (the “Company”) approved and adopted the Lifecore Biomedical, Inc. Incentive Bonus Plan (the “Plan”) effective January 14, 2026 (the “Effective Date”) for bonus awards granted on or after the Effective Date. The Plan provides for a cash payment to be made to the executive officers and certain other employees of the Company selected for participation in the Plan, based upon the achievement of certain financial and other performance targets established by the Compensation Committee. The Compensation Committee has the authority to designate the participants in the Plan; determine the applicable performance period; determine the amount of each bonus award; select applicable performance targets; identify the weights of applicable performance targets; determine the relationship between the degree to which performance targets have been achieved and bonus payments; and adjust bonus payments based on unusual or unique circumstances or the impact of acquisitions, divestitures or other major unusual events.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foregoing summary of the Plan does not purport to be complete and is subject to and qualified in its entirety by reference to the full text of the Plan, a copy of which is attached hereto as Exhibit 10.1 and is incorporated herein by reference.</w:t>
      </w: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(d) Exhibits</w:t>
      </w:r>
    </w:p>
    <w:tbl>
      <w:tblPr>
        <w:tblW w:w="10205" w:type="dxa"/>
        <w:jc w:val="left"/>
        <w:tblInd w:w="0" w:type="dxa"/>
        <w:tblLayout w:type="fixed"/>
        <w:tblCellMar>
          <w:top w:w="28" w:type="dxa"/>
          <w:left w:w="28" w:type="dxa"/>
          <w:bottom w:w="28" w:type="dxa"/>
          <w:right w:w="28" w:type="dxa"/>
        </w:tblCellMar>
      </w:tblPr>
      <w:tblGrid>
        <w:gridCol w:w="366"/>
        <w:gridCol w:w="322"/>
        <w:gridCol w:w="323"/>
        <w:gridCol w:w="109"/>
        <w:gridCol w:w="109"/>
        <w:gridCol w:w="109"/>
        <w:gridCol w:w="2858"/>
        <w:gridCol w:w="2858"/>
        <w:gridCol w:w="2885"/>
        <w:gridCol w:w="109"/>
        <w:gridCol w:w="157"/>
      </w:tblGrid>
      <w:tr>
        <w:trPr/>
        <w:tc>
          <w:tcPr>
            <w:tcW w:w="3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lifecoreincentivebonusplan.htm">
              <w:r>
                <w:rPr>
                  <w:rStyle w:val="InternetLink"/>
                  <w:rFonts w:ascii="Times New Roman;serif" w:hAnsi="Times New Roman;serif"/>
                  <w:b w:val="false"/>
                  <w:color w:val="0000FF"/>
                  <w:sz w:val="22"/>
                  <w:u w:val="single"/>
                </w:rPr>
                <w:t>Lifecore Biomedical, Inc. Incentive Bonus Plan effective January 14,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 the cover page XBRL tags are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before="0" w:after="200"/>
        <w:jc w:val="both"/>
        <w:rPr/>
      </w:pPr>
      <w:r>
        <w:rPr/>
      </w:r>
    </w:p>
    <w:p>
      <w:pPr>
        <w:pStyle w:val="TextBody"/>
        <w:bidi w:val="0"/>
        <w:spacing w:lineRule="auto" w:line="268" w:before="0" w:after="20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Date: January 16, 2026</w:t>
      </w:r>
    </w:p>
    <w:tbl>
      <w:tblPr>
        <w:tblW w:w="3960" w:type="dxa"/>
        <w:jc w:val="left"/>
        <w:tblInd w:w="0" w:type="dxa"/>
        <w:tblLayout w:type="fixed"/>
        <w:tblCellMar>
          <w:top w:w="28" w:type="dxa"/>
          <w:left w:w="28" w:type="dxa"/>
          <w:bottom w:w="28" w:type="dxa"/>
          <w:right w:w="28" w:type="dxa"/>
        </w:tblCellMar>
      </w:tblPr>
      <w:tblGrid>
        <w:gridCol w:w="162"/>
        <w:gridCol w:w="143"/>
        <w:gridCol w:w="145"/>
        <w:gridCol w:w="1027"/>
        <w:gridCol w:w="1027"/>
        <w:gridCol w:w="1456"/>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LIFECORE BIOMEDICAL, INC.</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 Ryan D. Lake</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Ryan D. Lake</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LIFECORE BIOMEDICAL, INC.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INCENTIVE BONUS PLAN</w:t>
      </w:r>
    </w:p>
    <w:p>
      <w:pPr>
        <w:pStyle w:val="TextBody"/>
        <w:bidi w:val="0"/>
        <w:spacing w:lineRule="auto" w:line="240" w:before="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Definitions</w:t>
      </w:r>
      <w:r>
        <w:rPr>
          <w:rFonts w:ascii="Times New Roman;serif" w:hAnsi="Times New Roman;serif"/>
          <w:b w:val="false"/>
          <w:color w:val="000000"/>
          <w:sz w:val="24"/>
        </w:rPr>
        <w:t>. When the following terms are used herein with initial capital letters, they shall have the following meanings:</w:t>
      </w:r>
    </w:p>
    <w:p>
      <w:pPr>
        <w:pStyle w:val="TextBody"/>
        <w:bidi w:val="0"/>
        <w:spacing w:lineRule="auto" w:line="240" w:before="0" w:after="240"/>
        <w:ind w:left="0" w:right="0" w:firstLine="720"/>
        <w:jc w:val="left"/>
        <w:rPr/>
      </w:pPr>
      <w:r>
        <w:rPr>
          <w:rFonts w:ascii="Times New Roman;serif" w:hAnsi="Times New Roman;serif"/>
          <w:b w:val="false"/>
          <w:color w:val="010000"/>
          <w:sz w:val="24"/>
        </w:rPr>
        <w:t>1.1</w:t>
      </w:r>
      <w:r>
        <w:rPr>
          <w:rFonts w:ascii="Times New Roman;serif" w:hAnsi="Times New Roman;serif"/>
          <w:b w:val="false"/>
          <w:color w:val="000000"/>
          <w:sz w:val="24"/>
          <w:u w:val="single"/>
        </w:rPr>
        <w:t>Affiliate</w:t>
      </w:r>
      <w:r>
        <w:rPr>
          <w:color w:val="000000"/>
        </w:rPr>
        <w:t xml:space="preserve"> – </w:t>
      </w:r>
      <w:r>
        <w:rPr>
          <w:rFonts w:ascii="Times New Roman;serif" w:hAnsi="Times New Roman;serif"/>
          <w:b w:val="false"/>
          <w:color w:val="000000"/>
          <w:sz w:val="24"/>
        </w:rPr>
        <w:t>any entity that (i) directly or indirectly through one or more intermediaries, is controlled by the Company or in which the Company has a significant equity interest, in each case as determined by the Committee, and (ii) has adopted the Plan.</w:t>
      </w:r>
    </w:p>
    <w:p>
      <w:pPr>
        <w:pStyle w:val="TextBody"/>
        <w:bidi w:val="0"/>
        <w:spacing w:lineRule="auto" w:line="240" w:before="0" w:after="240"/>
        <w:ind w:left="0" w:right="0" w:firstLine="720"/>
        <w:jc w:val="left"/>
        <w:rPr/>
      </w:pPr>
      <w:r>
        <w:rPr>
          <w:rFonts w:ascii="Times New Roman;serif" w:hAnsi="Times New Roman;serif"/>
          <w:b w:val="false"/>
          <w:color w:val="010000"/>
          <w:sz w:val="24"/>
        </w:rPr>
        <w:t>1.2</w:t>
      </w:r>
      <w:r>
        <w:rPr>
          <w:rFonts w:ascii="Times New Roman;serif" w:hAnsi="Times New Roman;serif"/>
          <w:b w:val="false"/>
          <w:color w:val="000000"/>
          <w:sz w:val="24"/>
          <w:u w:val="single"/>
        </w:rPr>
        <w:t>Base Salary</w:t>
      </w:r>
      <w:r>
        <w:rPr>
          <w:color w:val="000000"/>
        </w:rPr>
        <w:t xml:space="preserve"> – </w:t>
      </w:r>
      <w:r>
        <w:rPr>
          <w:rFonts w:ascii="Times New Roman;serif" w:hAnsi="Times New Roman;serif"/>
          <w:b w:val="false"/>
          <w:color w:val="000000"/>
          <w:sz w:val="24"/>
        </w:rPr>
        <w:t>the annualized base salary paid to a Participant.</w:t>
      </w:r>
    </w:p>
    <w:p>
      <w:pPr>
        <w:pStyle w:val="TextBody"/>
        <w:bidi w:val="0"/>
        <w:spacing w:lineRule="auto" w:line="240" w:before="0" w:after="240"/>
        <w:ind w:left="0" w:right="0" w:firstLine="720"/>
        <w:jc w:val="left"/>
        <w:rPr/>
      </w:pPr>
      <w:r>
        <w:rPr>
          <w:rFonts w:ascii="Times New Roman;serif" w:hAnsi="Times New Roman;serif"/>
          <w:b w:val="false"/>
          <w:color w:val="010000"/>
          <w:sz w:val="24"/>
        </w:rPr>
        <w:t>1.3</w:t>
      </w:r>
      <w:r>
        <w:rPr>
          <w:rFonts w:ascii="Times New Roman;serif" w:hAnsi="Times New Roman;serif"/>
          <w:b w:val="false"/>
          <w:color w:val="000000"/>
          <w:sz w:val="24"/>
          <w:u w:val="single"/>
        </w:rPr>
        <w:t xml:space="preserve">Board </w:t>
      </w:r>
      <w:r>
        <w:rPr>
          <w:color w:val="000000"/>
        </w:rPr>
        <w:t xml:space="preserve">– </w:t>
      </w:r>
      <w:r>
        <w:rPr>
          <w:rFonts w:ascii="Times New Roman;serif" w:hAnsi="Times New Roman;serif"/>
          <w:b w:val="false"/>
          <w:color w:val="000000"/>
          <w:sz w:val="24"/>
        </w:rPr>
        <w:t>the Board of Directors of Lifecore Biomedical, Inc.</w:t>
      </w:r>
    </w:p>
    <w:p>
      <w:pPr>
        <w:pStyle w:val="TextBody"/>
        <w:bidi w:val="0"/>
        <w:spacing w:lineRule="auto" w:line="240" w:before="0" w:after="240"/>
        <w:ind w:left="0" w:right="0" w:firstLine="720"/>
        <w:jc w:val="left"/>
        <w:rPr/>
      </w:pPr>
      <w:r>
        <w:rPr>
          <w:rFonts w:ascii="Times New Roman;serif" w:hAnsi="Times New Roman;serif"/>
          <w:b w:val="false"/>
          <w:color w:val="010000"/>
          <w:sz w:val="24"/>
        </w:rPr>
        <w:t>1.4</w:t>
      </w:r>
      <w:r>
        <w:rPr>
          <w:rFonts w:ascii="Times New Roman;serif" w:hAnsi="Times New Roman;serif"/>
          <w:b w:val="false"/>
          <w:color w:val="000000"/>
          <w:sz w:val="24"/>
          <w:u w:val="single"/>
        </w:rPr>
        <w:t>Bonus Award</w:t>
      </w:r>
      <w:r>
        <w:rPr>
          <w:color w:val="000000"/>
        </w:rPr>
        <w:t xml:space="preserve"> – </w:t>
      </w:r>
      <w:r>
        <w:rPr>
          <w:rFonts w:ascii="Times New Roman;serif" w:hAnsi="Times New Roman;serif"/>
          <w:b w:val="false"/>
          <w:color w:val="000000"/>
          <w:sz w:val="24"/>
        </w:rPr>
        <w:t xml:space="preserve">the incentive structure established for each Participant by the Committee for each Performance Period pursuant to </w:t>
      </w:r>
      <w:r>
        <w:rPr>
          <w:rFonts w:ascii="Times New Roman;serif" w:hAnsi="Times New Roman;serif"/>
          <w:b w:val="false"/>
          <w:color w:val="000000"/>
          <w:sz w:val="24"/>
          <w:u w:val="single"/>
        </w:rPr>
        <w:t>Section 3.1</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ind w:left="0" w:right="0" w:firstLine="720"/>
        <w:jc w:val="left"/>
        <w:rPr/>
      </w:pPr>
      <w:r>
        <w:rPr>
          <w:rFonts w:ascii="Times New Roman;serif" w:hAnsi="Times New Roman;serif"/>
          <w:b w:val="false"/>
          <w:color w:val="010000"/>
          <w:sz w:val="24"/>
        </w:rPr>
        <w:t>1.5</w:t>
      </w:r>
      <w:r>
        <w:rPr>
          <w:rFonts w:ascii="Times New Roman;serif" w:hAnsi="Times New Roman;serif"/>
          <w:b w:val="false"/>
          <w:color w:val="000000"/>
          <w:sz w:val="24"/>
          <w:u w:val="single"/>
        </w:rPr>
        <w:t>Bonus Payment</w:t>
      </w:r>
      <w:r>
        <w:rPr>
          <w:color w:val="000000"/>
        </w:rPr>
        <w:t xml:space="preserve"> – </w:t>
      </w:r>
      <w:r>
        <w:rPr>
          <w:rFonts w:ascii="Times New Roman;serif" w:hAnsi="Times New Roman;serif"/>
          <w:b w:val="false"/>
          <w:color w:val="000000"/>
          <w:sz w:val="24"/>
        </w:rPr>
        <w:t xml:space="preserve">an amount payable to a Participant pursuant to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ind w:left="0" w:right="0" w:firstLine="720"/>
        <w:jc w:val="left"/>
        <w:rPr/>
      </w:pPr>
      <w:r>
        <w:rPr>
          <w:rFonts w:ascii="Times New Roman;serif" w:hAnsi="Times New Roman;serif"/>
          <w:b w:val="false"/>
          <w:color w:val="010000"/>
          <w:sz w:val="24"/>
        </w:rPr>
        <w:t>1.6</w:t>
      </w:r>
      <w:r>
        <w:rPr>
          <w:rFonts w:ascii="Times New Roman;serif" w:hAnsi="Times New Roman;serif"/>
          <w:b w:val="false"/>
          <w:color w:val="000000"/>
          <w:sz w:val="24"/>
          <w:u w:val="single"/>
        </w:rPr>
        <w:t>Cause</w:t>
      </w:r>
      <w:r>
        <w:rPr>
          <w:color w:val="000000"/>
        </w:rPr>
        <w:t xml:space="preserve"> – </w:t>
      </w:r>
      <w:r>
        <w:rPr>
          <w:rFonts w:ascii="Times New Roman;serif" w:hAnsi="Times New Roman;serif"/>
          <w:b w:val="false"/>
          <w:color w:val="000000"/>
          <w:sz w:val="24"/>
        </w:rPr>
        <w:t>unless otherwise defined in an employment or other governing agreement between a Participant and the Company or an Affiliate, a determination by the Company that a Participant has engaged in conduct that constitutes “Cause” under the Company’s 2019 Stock Incentive Plan, Equity Inducement Plan or other equity compensation plan under which Participant has received an award.</w:t>
      </w:r>
    </w:p>
    <w:p>
      <w:pPr>
        <w:pStyle w:val="TextBody"/>
        <w:bidi w:val="0"/>
        <w:spacing w:lineRule="auto" w:line="240" w:before="0" w:after="240"/>
        <w:ind w:left="0" w:right="0" w:firstLine="720"/>
        <w:jc w:val="left"/>
        <w:rPr/>
      </w:pPr>
      <w:r>
        <w:rPr>
          <w:rFonts w:ascii="Times New Roman;serif" w:hAnsi="Times New Roman;serif"/>
          <w:b w:val="false"/>
          <w:color w:val="010000"/>
          <w:sz w:val="24"/>
        </w:rPr>
        <w:t>1.7</w:t>
      </w:r>
      <w:r>
        <w:rPr>
          <w:rFonts w:ascii="Times New Roman;serif" w:hAnsi="Times New Roman;serif"/>
          <w:b w:val="false"/>
          <w:color w:val="000000"/>
          <w:sz w:val="24"/>
          <w:u w:val="single"/>
        </w:rPr>
        <w:t>Change in Control</w:t>
      </w:r>
      <w:r>
        <w:rPr>
          <w:color w:val="000000"/>
        </w:rPr>
        <w:t xml:space="preserve"> – </w:t>
      </w:r>
      <w:r>
        <w:rPr>
          <w:rFonts w:ascii="Times New Roman;serif" w:hAnsi="Times New Roman;serif"/>
          <w:b w:val="false"/>
          <w:color w:val="000000"/>
          <w:sz w:val="24"/>
        </w:rPr>
        <w:t>the same definition of this term as in the Company’s 2019 Stock Incentive Plan, unless the Committee determines that the corresponding definition of any other equity compensation plan shall apply.</w:t>
      </w:r>
    </w:p>
    <w:p>
      <w:pPr>
        <w:pStyle w:val="TextBody"/>
        <w:bidi w:val="0"/>
        <w:spacing w:lineRule="auto" w:line="240" w:before="0" w:after="240"/>
        <w:ind w:left="0" w:right="0" w:firstLine="720"/>
        <w:jc w:val="left"/>
        <w:rPr/>
      </w:pPr>
      <w:r>
        <w:rPr>
          <w:rFonts w:ascii="Times New Roman;serif" w:hAnsi="Times New Roman;serif"/>
          <w:b w:val="false"/>
          <w:color w:val="010000"/>
          <w:sz w:val="24"/>
        </w:rPr>
        <w:t>1.8</w:t>
      </w:r>
      <w:r>
        <w:rPr>
          <w:rFonts w:ascii="Times New Roman;serif" w:hAnsi="Times New Roman;serif"/>
          <w:b w:val="false"/>
          <w:color w:val="000000"/>
          <w:sz w:val="24"/>
          <w:u w:val="single"/>
        </w:rPr>
        <w:t>Committee</w:t>
      </w:r>
      <w:r>
        <w:rPr>
          <w:color w:val="000000"/>
        </w:rPr>
        <w:t xml:space="preserve"> – </w:t>
      </w:r>
      <w:r>
        <w:rPr>
          <w:rFonts w:ascii="Times New Roman;serif" w:hAnsi="Times New Roman;serif"/>
          <w:b w:val="false"/>
          <w:color w:val="000000"/>
          <w:sz w:val="24"/>
        </w:rPr>
        <w:t>the Compensation Committee of the Board or other committee of the Board as the Board may designate to have responsibility for administration of this Plan. In the event the Board does not designate a committee as responsible for the administration of this Plan, the references herein to Committee shall refer to the Board.</w:t>
      </w:r>
    </w:p>
    <w:p>
      <w:pPr>
        <w:pStyle w:val="TextBody"/>
        <w:bidi w:val="0"/>
        <w:spacing w:lineRule="auto" w:line="240" w:before="0" w:after="240"/>
        <w:ind w:left="0" w:right="0" w:firstLine="720"/>
        <w:jc w:val="left"/>
        <w:rPr/>
      </w:pPr>
      <w:r>
        <w:rPr>
          <w:rFonts w:ascii="Times New Roman;serif" w:hAnsi="Times New Roman;serif"/>
          <w:b w:val="false"/>
          <w:color w:val="010000"/>
          <w:sz w:val="24"/>
        </w:rPr>
        <w:t>1.9</w:t>
      </w:r>
      <w:r>
        <w:rPr>
          <w:rFonts w:ascii="Times New Roman;serif" w:hAnsi="Times New Roman;serif"/>
          <w:b w:val="false"/>
          <w:color w:val="000000"/>
          <w:sz w:val="24"/>
          <w:u w:val="single"/>
        </w:rPr>
        <w:t>Company</w:t>
      </w:r>
      <w:r>
        <w:rPr>
          <w:color w:val="000000"/>
        </w:rPr>
        <w:t xml:space="preserve"> – </w:t>
      </w:r>
      <w:r>
        <w:rPr>
          <w:rFonts w:ascii="Times New Roman;serif" w:hAnsi="Times New Roman;serif"/>
          <w:b w:val="false"/>
          <w:color w:val="000000"/>
          <w:sz w:val="24"/>
        </w:rPr>
        <w:t>Lifecore Biomedical, Inc., a Delaware corporation.</w:t>
      </w:r>
    </w:p>
    <w:p>
      <w:pPr>
        <w:pStyle w:val="TextBody"/>
        <w:bidi w:val="0"/>
        <w:spacing w:lineRule="auto" w:line="240" w:before="0" w:after="240"/>
        <w:ind w:left="0" w:right="0" w:firstLine="720"/>
        <w:jc w:val="left"/>
        <w:rPr/>
      </w:pPr>
      <w:r>
        <w:rPr>
          <w:rFonts w:ascii="Times New Roman;serif" w:hAnsi="Times New Roman;serif"/>
          <w:b w:val="false"/>
          <w:color w:val="010000"/>
          <w:sz w:val="24"/>
        </w:rPr>
        <w:t>1.10</w:t>
      </w:r>
      <w:r>
        <w:rPr>
          <w:rFonts w:ascii="Times New Roman;serif" w:hAnsi="Times New Roman;serif"/>
          <w:b w:val="false"/>
          <w:color w:val="000000"/>
          <w:sz w:val="24"/>
          <w:u w:val="single"/>
        </w:rPr>
        <w:t>Disability</w:t>
      </w:r>
      <w:r>
        <w:rPr>
          <w:color w:val="000000"/>
        </w:rPr>
        <w:t xml:space="preserve"> – </w:t>
      </w:r>
      <w:r>
        <w:rPr>
          <w:rFonts w:ascii="Times New Roman;serif" w:hAnsi="Times New Roman;serif"/>
          <w:b w:val="false"/>
          <w:color w:val="000000"/>
          <w:sz w:val="24"/>
        </w:rPr>
        <w:t>a disability for which a Participant is eligible for benefits under the Company’s long-term disability benefit plan.</w:t>
      </w:r>
    </w:p>
    <w:p>
      <w:pPr>
        <w:pStyle w:val="TextBody"/>
        <w:bidi w:val="0"/>
        <w:spacing w:lineRule="auto" w:line="240" w:before="0" w:after="240"/>
        <w:ind w:left="0" w:right="0" w:firstLine="720"/>
        <w:jc w:val="left"/>
        <w:rPr/>
      </w:pPr>
      <w:r>
        <w:rPr>
          <w:rFonts w:ascii="Times New Roman;serif" w:hAnsi="Times New Roman;serif"/>
          <w:b w:val="false"/>
          <w:color w:val="010000"/>
          <w:sz w:val="24"/>
        </w:rPr>
        <w:t>1.11</w:t>
      </w:r>
      <w:r>
        <w:rPr>
          <w:rFonts w:ascii="Times New Roman;serif" w:hAnsi="Times New Roman;serif"/>
          <w:b w:val="false"/>
          <w:color w:val="000000"/>
          <w:sz w:val="24"/>
          <w:u w:val="single"/>
        </w:rPr>
        <w:t>Eligible Employee</w:t>
      </w:r>
      <w:r>
        <w:rPr>
          <w:color w:val="000000"/>
        </w:rPr>
        <w:t xml:space="preserve"> – </w:t>
      </w:r>
      <w:r>
        <w:rPr>
          <w:rFonts w:ascii="Times New Roman;serif" w:hAnsi="Times New Roman;serif"/>
          <w:b w:val="false"/>
          <w:color w:val="000000"/>
          <w:sz w:val="24"/>
        </w:rPr>
        <w:t>any employee of the Company or of an Affiliate.</w:t>
      </w:r>
    </w:p>
    <w:p>
      <w:pPr>
        <w:pStyle w:val="TextBody"/>
        <w:bidi w:val="0"/>
        <w:spacing w:lineRule="auto" w:line="240" w:before="0" w:after="240"/>
        <w:ind w:left="0" w:right="0" w:firstLine="720"/>
        <w:jc w:val="left"/>
        <w:rPr/>
      </w:pPr>
      <w:r>
        <w:rPr>
          <w:rFonts w:ascii="Times New Roman;serif" w:hAnsi="Times New Roman;serif"/>
          <w:b w:val="false"/>
          <w:color w:val="010000"/>
          <w:sz w:val="24"/>
        </w:rPr>
        <w:t>1.12</w:t>
      </w:r>
      <w:r>
        <w:rPr>
          <w:rFonts w:ascii="Times New Roman;serif" w:hAnsi="Times New Roman;serif"/>
          <w:b w:val="false"/>
          <w:color w:val="000000"/>
          <w:sz w:val="24"/>
          <w:u w:val="single"/>
        </w:rPr>
        <w:t>Participant</w:t>
      </w:r>
      <w:r>
        <w:rPr>
          <w:color w:val="000000"/>
        </w:rPr>
        <w:t xml:space="preserve"> – </w:t>
      </w:r>
      <w:r>
        <w:rPr>
          <w:rFonts w:ascii="Times New Roman;serif" w:hAnsi="Times New Roman;serif"/>
          <w:b w:val="false"/>
          <w:color w:val="000000"/>
          <w:sz w:val="24"/>
        </w:rPr>
        <w:t>an Eligible Employee designated by the Committee as eligible to receive a Bonus Award under the Plan.</w:t>
      </w:r>
    </w:p>
    <w:p>
      <w:pPr>
        <w:pStyle w:val="TextBody"/>
        <w:bidi w:val="0"/>
        <w:spacing w:lineRule="auto" w:line="240" w:before="0" w:after="240"/>
        <w:ind w:left="0" w:right="0" w:firstLine="720"/>
        <w:jc w:val="left"/>
        <w:rPr/>
      </w:pPr>
      <w:r>
        <w:rPr>
          <w:rFonts w:ascii="Times New Roman;serif" w:hAnsi="Times New Roman;serif"/>
          <w:b w:val="false"/>
          <w:color w:val="010000"/>
          <w:sz w:val="24"/>
        </w:rPr>
        <w:t>1.13</w:t>
      </w:r>
      <w:r>
        <w:rPr>
          <w:rFonts w:ascii="Times New Roman;serif" w:hAnsi="Times New Roman;serif"/>
          <w:b w:val="false"/>
          <w:color w:val="000000"/>
          <w:sz w:val="24"/>
          <w:u w:val="single"/>
        </w:rPr>
        <w:t>Performance Period</w:t>
      </w:r>
      <w:r>
        <w:rPr>
          <w:color w:val="000000"/>
        </w:rPr>
        <w:t xml:space="preserve"> – </w:t>
      </w:r>
      <w:r>
        <w:rPr>
          <w:rFonts w:ascii="Times New Roman;serif" w:hAnsi="Times New Roman;serif"/>
          <w:b w:val="false"/>
          <w:color w:val="000000"/>
          <w:sz w:val="24"/>
        </w:rPr>
        <w:t>the Company’s fiscal year or such other period as determined by the Committee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10000"/>
          <w:sz w:val="24"/>
        </w:rPr>
        <w:t>1.14</w:t>
      </w:r>
      <w:r>
        <w:rPr>
          <w:rFonts w:ascii="Times New Roman;serif" w:hAnsi="Times New Roman;serif"/>
          <w:b w:val="false"/>
          <w:color w:val="000000"/>
          <w:sz w:val="24"/>
          <w:u w:val="single"/>
        </w:rPr>
        <w:t>Performance Target(s)</w:t>
      </w:r>
      <w:r>
        <w:rPr>
          <w:color w:val="000000"/>
        </w:rPr>
        <w:t xml:space="preserve"> – </w:t>
      </w:r>
      <w:r>
        <w:rPr>
          <w:rFonts w:ascii="Times New Roman;serif" w:hAnsi="Times New Roman;serif"/>
          <w:b w:val="false"/>
          <w:color w:val="000000"/>
          <w:sz w:val="24"/>
        </w:rPr>
        <w:t>the financial, operational and/or strategic performance metrics, goals or objectives established by the Committee for a Performance Period in accordance with the terms of the Plan.</w:t>
      </w:r>
    </w:p>
    <w:p>
      <w:pPr>
        <w:pStyle w:val="TextBody"/>
        <w:bidi w:val="0"/>
        <w:spacing w:lineRule="auto" w:line="240" w:before="0" w:after="240"/>
        <w:ind w:left="0" w:right="0" w:firstLine="720"/>
        <w:jc w:val="left"/>
        <w:rPr/>
      </w:pPr>
      <w:r>
        <w:rPr>
          <w:rFonts w:ascii="Times New Roman;serif" w:hAnsi="Times New Roman;serif"/>
          <w:b w:val="false"/>
          <w:color w:val="010000"/>
          <w:sz w:val="24"/>
        </w:rPr>
        <w:t>1.15</w:t>
      </w:r>
      <w:r>
        <w:rPr>
          <w:rFonts w:ascii="Times New Roman;serif" w:hAnsi="Times New Roman;serif"/>
          <w:b w:val="false"/>
          <w:color w:val="000000"/>
          <w:sz w:val="24"/>
          <w:u w:val="single"/>
        </w:rPr>
        <w:t>Plan</w:t>
      </w:r>
      <w:r>
        <w:rPr>
          <w:color w:val="000000"/>
        </w:rPr>
        <w:t xml:space="preserve"> – </w:t>
      </w:r>
      <w:r>
        <w:rPr>
          <w:rFonts w:ascii="Times New Roman;serif" w:hAnsi="Times New Roman;serif"/>
          <w:b w:val="false"/>
          <w:color w:val="000000"/>
          <w:sz w:val="24"/>
        </w:rPr>
        <w:t>this Lifecore Biomedical, Inc. Incentive Bonus Plan, as it may be amended from time to time.</w:t>
      </w:r>
    </w:p>
    <w:p>
      <w:pPr>
        <w:pStyle w:val="TextBody"/>
        <w:bidi w:val="0"/>
        <w:spacing w:lineRule="auto" w:line="240" w:before="0" w:after="240"/>
        <w:ind w:left="0" w:right="0" w:firstLine="720"/>
        <w:jc w:val="left"/>
        <w:rPr/>
      </w:pPr>
      <w:r>
        <w:rPr>
          <w:rFonts w:ascii="Times New Roman;serif" w:hAnsi="Times New Roman;serif"/>
          <w:b w:val="false"/>
          <w:color w:val="010000"/>
          <w:sz w:val="24"/>
        </w:rPr>
        <w:t>1.16</w:t>
      </w:r>
      <w:r>
        <w:rPr>
          <w:rFonts w:ascii="Times New Roman;serif" w:hAnsi="Times New Roman;serif"/>
          <w:b w:val="false"/>
          <w:color w:val="000000"/>
          <w:sz w:val="24"/>
          <w:u w:val="single"/>
        </w:rPr>
        <w:t>Recoupment Policy</w:t>
      </w:r>
      <w:r>
        <w:rPr>
          <w:color w:val="000000"/>
        </w:rPr>
        <w:t xml:space="preserve"> – </w:t>
      </w:r>
      <w:r>
        <w:rPr>
          <w:rFonts w:ascii="Times New Roman;serif" w:hAnsi="Times New Roman;serif"/>
          <w:b w:val="false"/>
          <w:color w:val="000000"/>
          <w:sz w:val="24"/>
        </w:rPr>
        <w:t>the Company’s Compensation Recoupment Policy adopted November 30, 2023, as amended from time to time.</w:t>
      </w:r>
    </w:p>
    <w:p>
      <w:pPr>
        <w:pStyle w:val="TextBody"/>
        <w:bidi w:val="0"/>
        <w:spacing w:lineRule="auto" w:line="240" w:before="0" w:after="240"/>
        <w:ind w:left="0" w:right="0" w:firstLine="720"/>
        <w:jc w:val="left"/>
        <w:rPr/>
      </w:pPr>
      <w:r>
        <w:rPr>
          <w:rFonts w:ascii="Times New Roman;serif" w:hAnsi="Times New Roman;serif"/>
          <w:b w:val="false"/>
          <w:color w:val="010000"/>
          <w:sz w:val="24"/>
        </w:rPr>
        <w:t>1.17</w:t>
      </w:r>
      <w:r>
        <w:rPr>
          <w:rFonts w:ascii="Times New Roman;serif" w:hAnsi="Times New Roman;serif"/>
          <w:b w:val="false"/>
          <w:color w:val="000000"/>
          <w:sz w:val="24"/>
          <w:u w:val="single"/>
        </w:rPr>
        <w:t>Retirement</w:t>
      </w:r>
      <w:r>
        <w:rPr>
          <w:color w:val="000000"/>
        </w:rPr>
        <w:t xml:space="preserve"> – </w:t>
      </w:r>
      <w:r>
        <w:rPr>
          <w:rFonts w:ascii="Times New Roman;serif" w:hAnsi="Times New Roman;serif"/>
          <w:b w:val="false"/>
          <w:color w:val="000000"/>
          <w:sz w:val="24"/>
        </w:rPr>
        <w:t>termination of a Participant’s employment for any reason other than Cause upon or after attaining age 65, or between age 55 and 65 after providing 10 or more years of service to the Company or an Affiliate.</w:t>
      </w:r>
    </w:p>
    <w:p>
      <w:pPr>
        <w:pStyle w:val="TextBody"/>
        <w:bidi w:val="0"/>
        <w:spacing w:lineRule="auto" w:line="240" w:before="0" w:after="240"/>
        <w:ind w:left="0" w:right="0" w:firstLine="720"/>
        <w:jc w:val="left"/>
        <w:rPr/>
      </w:pPr>
      <w:r>
        <w:rPr>
          <w:rFonts w:ascii="Times New Roman;serif" w:hAnsi="Times New Roman;serif"/>
          <w:b w:val="false"/>
          <w:color w:val="010000"/>
          <w:sz w:val="24"/>
        </w:rPr>
        <w:t>1.18</w:t>
      </w:r>
      <w:r>
        <w:rPr>
          <w:rFonts w:ascii="Times New Roman;serif" w:hAnsi="Times New Roman;serif"/>
          <w:b w:val="false"/>
          <w:color w:val="000000"/>
          <w:sz w:val="24"/>
          <w:u w:val="single"/>
        </w:rPr>
        <w:t>Section 409A</w:t>
      </w:r>
      <w:r>
        <w:rPr>
          <w:color w:val="000000"/>
        </w:rPr>
        <w:t xml:space="preserve"> – </w:t>
      </w:r>
      <w:r>
        <w:rPr>
          <w:rFonts w:ascii="Times New Roman;serif" w:hAnsi="Times New Roman;serif"/>
          <w:b w:val="false"/>
          <w:color w:val="000000"/>
          <w:sz w:val="24"/>
        </w:rPr>
        <w:t>Section 409A of the Internal Revenue Code of 1986, as amended.</w:t>
      </w:r>
    </w:p>
    <w:p>
      <w:pPr>
        <w:pStyle w:val="TextBody"/>
        <w:bidi w:val="0"/>
        <w:spacing w:lineRule="auto" w:line="240" w:before="0" w:after="240"/>
        <w:ind w:left="0" w:right="0" w:firstLine="720"/>
        <w:jc w:val="left"/>
        <w:rPr/>
      </w:pPr>
      <w:r>
        <w:rPr>
          <w:rFonts w:ascii="Times New Roman;serif" w:hAnsi="Times New Roman;serif"/>
          <w:b w:val="false"/>
          <w:color w:val="010000"/>
          <w:sz w:val="24"/>
        </w:rPr>
        <w:t>1.19</w:t>
      </w:r>
      <w:r>
        <w:rPr>
          <w:rFonts w:ascii="Times New Roman;serif" w:hAnsi="Times New Roman;serif"/>
          <w:b w:val="false"/>
          <w:color w:val="000000"/>
          <w:sz w:val="24"/>
          <w:u w:val="single"/>
        </w:rPr>
        <w:t>Termination Event</w:t>
      </w:r>
      <w:r>
        <w:rPr>
          <w:color w:val="000000"/>
        </w:rPr>
        <w:t xml:space="preserve"> – </w:t>
      </w:r>
      <w:r>
        <w:rPr>
          <w:rFonts w:ascii="Times New Roman;serif" w:hAnsi="Times New Roman;serif"/>
          <w:b w:val="false"/>
          <w:color w:val="000000"/>
          <w:sz w:val="24"/>
        </w:rPr>
        <w:t>the termination of a Participant’s employment with the Company or an Affiliate for any reason, voluntarily or involuntarily, with or without Cause, including by reason of the Participant’s death, Disability, or Retirement; provided, however, a Termination Event shall not be deemed to occur if there is a simultaneous reemployment or continuing employment of the Participant by the Company or any Affiliate, or, in the discretion of the Committee, the Participant’s service is interrupted for any approved leaves of absence. The Committee, in its discretion, shall determine the effect of all matters and questions relating to whether a Termination Event has occurred, including whether a particular leave of absence constitutes a Termination Event.</w:t>
      </w:r>
    </w:p>
    <w:p>
      <w:pPr>
        <w:pStyle w:val="TextBody"/>
        <w:bidi w:val="0"/>
        <w:spacing w:lineRule="auto" w:line="240" w:before="0" w:after="24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Administration</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10000"/>
          <w:sz w:val="24"/>
        </w:rPr>
        <w:t>2.1</w:t>
      </w:r>
      <w:r>
        <w:rPr>
          <w:rFonts w:ascii="Times New Roman;serif" w:hAnsi="Times New Roman;serif"/>
          <w:b w:val="false"/>
          <w:color w:val="000000"/>
          <w:sz w:val="24"/>
          <w:u w:val="single"/>
        </w:rPr>
        <w:t>Authority of Committee</w:t>
      </w:r>
      <w:r>
        <w:rPr>
          <w:rFonts w:ascii="Times New Roman;serif" w:hAnsi="Times New Roman;serif"/>
          <w:b w:val="false"/>
          <w:color w:val="000000"/>
          <w:sz w:val="24"/>
        </w:rPr>
        <w:t>. This Plan will be administered and interpreted by the Committee in its absolute discretion, consistent with this Plan. The Committee shall have the authority, subject to the terms of the Plan, to (i) make Bonus Awards, (ii) determine when and to whom Bonus Awards will be granted, (iii) determine the form, amount and other terms and conditions of each Bonus Award, (iv) set the Performance Period and establish the Performance Target(s) and relationship between the Performance Target(s) and Bonus Payments, and (v) otherwise administer the Plan. The Committee’s interpretation of the Plan and of any Bonus Payments made or to be made under the Plan shall be final and binding on all persons with an interest therein. The Committee shall have the power to establish regulations to administer the Plan and to change such regulations.</w:t>
      </w:r>
    </w:p>
    <w:p>
      <w:pPr>
        <w:pStyle w:val="TextBody"/>
        <w:bidi w:val="0"/>
        <w:spacing w:lineRule="auto" w:line="240" w:before="0" w:after="240"/>
        <w:ind w:left="0" w:right="0" w:firstLine="720"/>
        <w:jc w:val="left"/>
        <w:rPr/>
      </w:pPr>
      <w:r>
        <w:rPr>
          <w:rFonts w:ascii="Times New Roman;serif" w:hAnsi="Times New Roman;serif"/>
          <w:b w:val="false"/>
          <w:color w:val="010000"/>
          <w:sz w:val="24"/>
        </w:rPr>
        <w:t>2.2</w:t>
      </w:r>
      <w:r>
        <w:rPr>
          <w:rFonts w:ascii="Times New Roman;serif" w:hAnsi="Times New Roman;serif"/>
          <w:b w:val="false"/>
          <w:color w:val="000000"/>
          <w:sz w:val="24"/>
          <w:u w:val="single"/>
        </w:rPr>
        <w:t>Delegation</w:t>
      </w:r>
      <w:r>
        <w:rPr>
          <w:rFonts w:ascii="Times New Roman;serif" w:hAnsi="Times New Roman;serif"/>
          <w:b w:val="false"/>
          <w:color w:val="000000"/>
          <w:sz w:val="24"/>
        </w:rPr>
        <w:t>. The Committee may delegate to the Chief Executive Officer the authority, with respect to Participants who are not executive officers of the Company, to (i) determine which of such Eligible Employees will be granted Bonus Awards under the Plan, (ii) determine the amount and terms of Bonus Awards under the Plan for such Participants and (iii) take all other actions of the Committee, including administration and interpretation of such Bonus Awards. Bonus Awards granted pursuant to such delegated authority shall be made consistent with the criteria established by the Committee and shall be subject to any other restrictions placed on the delegation by the Committee.</w:t>
      </w:r>
    </w:p>
    <w:p>
      <w:pPr>
        <w:pStyle w:val="TextBody"/>
        <w:bidi w:val="0"/>
        <w:spacing w:lineRule="auto" w:line="240" w:before="0" w:after="24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Bonus Award for a Performance Period</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10000"/>
          <w:sz w:val="24"/>
        </w:rPr>
        <w:t>3.1</w:t>
      </w:r>
      <w:r>
        <w:rPr>
          <w:rFonts w:ascii="Times New Roman;serif" w:hAnsi="Times New Roman;serif"/>
          <w:b w:val="false"/>
          <w:color w:val="000000"/>
          <w:sz w:val="24"/>
          <w:u w:val="single"/>
        </w:rPr>
        <w:t>Bonus Award</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10000"/>
          <w:sz w:val="24"/>
        </w:rPr>
        <w:t>(a)</w:t>
      </w:r>
      <w:r>
        <w:rPr>
          <w:rFonts w:ascii="Times New Roman;serif" w:hAnsi="Times New Roman;serif"/>
          <w:b w:val="false"/>
          <w:color w:val="000000"/>
          <w:sz w:val="24"/>
          <w:u w:val="single"/>
        </w:rPr>
        <w:t>Grant of Bonus Award</w:t>
      </w:r>
      <w:r>
        <w:rPr>
          <w:rFonts w:ascii="Times New Roman;serif" w:hAnsi="Times New Roman;serif"/>
          <w:b w:val="false"/>
          <w:color w:val="000000"/>
          <w:sz w:val="24"/>
        </w:rPr>
        <w:t xml:space="preserve">. The Committee shall designate which Eligible Employees will be granted a Bonus Award for each Performance Period; determine the amount of the potential Bonus Payment, which may be expressed as a percentage of Base Salary or eligible earnings (as determined by the Committee from time to time); select applicable Performance Target(s); identify the weights thereof; and determine the relationship between the degree to which Performance Targets have been achieved and Bonus Payments. </w:t>
      </w:r>
    </w:p>
    <w:p>
      <w:pPr>
        <w:pStyle w:val="TextBody"/>
        <w:bidi w:val="0"/>
        <w:spacing w:lineRule="auto" w:line="240" w:before="0" w:after="240"/>
        <w:ind w:left="0" w:right="0" w:firstLine="720"/>
        <w:jc w:val="left"/>
        <w:rPr/>
      </w:pPr>
      <w:r>
        <w:rPr>
          <w:rFonts w:ascii="Times New Roman;serif" w:hAnsi="Times New Roman;serif"/>
          <w:b w:val="false"/>
          <w:color w:val="010000"/>
          <w:sz w:val="24"/>
        </w:rPr>
        <w:t>(b)</w:t>
      </w:r>
      <w:r>
        <w:rPr>
          <w:rFonts w:ascii="Times New Roman;serif" w:hAnsi="Times New Roman;serif"/>
          <w:b w:val="false"/>
          <w:color w:val="000000"/>
          <w:sz w:val="24"/>
          <w:u w:val="single"/>
        </w:rPr>
        <w:t>Performance Targets</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10000"/>
          <w:sz w:val="24"/>
        </w:rPr>
        <w:t>(1)</w:t>
      </w:r>
      <w:r>
        <w:rPr>
          <w:rFonts w:ascii="Times New Roman;serif" w:hAnsi="Times New Roman;serif"/>
          <w:b w:val="false"/>
          <w:color w:val="000000"/>
          <w:sz w:val="24"/>
        </w:rPr>
        <w:t>Performance Targets shall be based on one or more financial, operational or strategic performance metrics, goals or objectives approved by the Committee, including, but not limited to: stock price, net sales, gross profit, margins, net earnings, pre-tax earnings, operating earnings, earnings before interest and taxes, earnings before interest, taxes, depreciation, and amortization, operating cash flow, free cash flow, cash flow from operations, return on equity, return on assets, return on invested capital, revenue or portions thereof, expenses, earnings per share, total shareholder return and appropriate corporate and individual goals and objectives. All such Performance Targets applicable to Bonus Awards shall be applied in a manner consistent with usual Company practice and such rules and conditions as the Committee may establish. Financial metrics shall be computed in accordance with United States generally accepted accounting principles as in effect from time to time and as applied by the Company in the preparation of its financial statements, except the Committee may provide that one or more objectively determinable adjustments shall be made to the financial metrics on which the Performance Targets are based, which may include adjustments that would cause such metrics to be considered “non-GAAP financial measures” within the meaning of Rule 101 under Regulation G promulgated by the Securities and Exchange Commission, such as excluding specified amounts or excluding the impact of specified unusual or nonrecurring events, including, but not limited to: acquisitions, divestitures, restructuring activities, asset write-downs, litigation judgments or settlements, or changes in tax laws or accounting principles.</w:t>
      </w:r>
    </w:p>
    <w:p>
      <w:pPr>
        <w:pStyle w:val="TextBody"/>
        <w:bidi w:val="0"/>
        <w:spacing w:lineRule="auto" w:line="240" w:before="0" w:after="240"/>
        <w:ind w:left="0" w:right="0" w:firstLine="720"/>
        <w:jc w:val="left"/>
        <w:rPr/>
      </w:pPr>
      <w:r>
        <w:rPr>
          <w:rFonts w:ascii="Times New Roman;serif" w:hAnsi="Times New Roman;serif"/>
          <w:b w:val="false"/>
          <w:color w:val="010000"/>
          <w:sz w:val="24"/>
        </w:rPr>
        <w:t>(2)</w:t>
      </w:r>
      <w:r>
        <w:rPr>
          <w:rFonts w:ascii="Times New Roman;serif" w:hAnsi="Times New Roman;serif"/>
          <w:b w:val="false"/>
          <w:color w:val="000000"/>
          <w:sz w:val="24"/>
        </w:rPr>
        <w:t>Any Performance Target may be expressed in absolute amounts, on a per share basis (basic or diluted), relative to one or more of the other financial, operational or strategic metrics, as a growth rate or change from preceding periods, or as a comparison to the performance of specified companies, indices or other external measures.</w:t>
      </w:r>
    </w:p>
    <w:p>
      <w:pPr>
        <w:pStyle w:val="TextBody"/>
        <w:bidi w:val="0"/>
        <w:spacing w:lineRule="auto" w:line="240" w:before="0" w:after="240"/>
        <w:ind w:left="0" w:right="0" w:firstLine="720"/>
        <w:jc w:val="left"/>
        <w:rPr/>
      </w:pPr>
      <w:r>
        <w:rPr>
          <w:rFonts w:ascii="Times New Roman;serif" w:hAnsi="Times New Roman;serif"/>
          <w:b w:val="false"/>
          <w:color w:val="010000"/>
          <w:sz w:val="24"/>
        </w:rPr>
        <w:t>3.2</w:t>
      </w:r>
      <w:r>
        <w:rPr>
          <w:rFonts w:ascii="Times New Roman;serif" w:hAnsi="Times New Roman;serif"/>
          <w:b w:val="false"/>
          <w:color w:val="000000"/>
          <w:sz w:val="24"/>
          <w:u w:val="single"/>
        </w:rPr>
        <w:t>Bonus Payment</w:t>
      </w:r>
      <w:r>
        <w:rPr>
          <w:rFonts w:ascii="Times New Roman;serif" w:hAnsi="Times New Roman;serif"/>
          <w:b w:val="false"/>
          <w:color w:val="000000"/>
          <w:sz w:val="24"/>
        </w:rPr>
        <w:t xml:space="preserve">. Following the close of each Performance Period and prior to the making of any Bonus Payment, the Committee shall determine whether and to what extent Performance Target(s) and all other factors upon which the Bonus Payment is based have been attained. In determining whether and to what extent a Performance Target has been attained, the Committee may make adjustments based on unusual or unique circumstances or the impact of acquisitions, divestitures or other major unusual events. A Participant who is employed by the Company or any Affiliate through the last day of the Performance Period shall be eligible for a Bonus Payment, if any such Bonus Payment is made, provided such Participant continues to be employed by the Company or such Affiliate on the date such Bonus Payment is made. Subject to any deferred compensation election pursuant to any such plans of the Company, the Bonus Payment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shall be made by March 15 of the year following the calendar year in which the Performance Period ends.</w:t>
      </w:r>
    </w:p>
    <w:p>
      <w:pPr>
        <w:pStyle w:val="TextBody"/>
        <w:bidi w:val="0"/>
        <w:spacing w:lineRule="auto" w:line="240" w:before="0" w:after="240"/>
        <w:ind w:left="0" w:right="0" w:firstLine="720"/>
        <w:jc w:val="left"/>
        <w:rPr/>
      </w:pPr>
      <w:r>
        <w:rPr>
          <w:rFonts w:ascii="Times New Roman;serif" w:hAnsi="Times New Roman;serif"/>
          <w:b w:val="false"/>
          <w:color w:val="010000"/>
          <w:sz w:val="24"/>
        </w:rPr>
        <w:t>3.3</w:t>
      </w:r>
      <w:r>
        <w:rPr>
          <w:rFonts w:ascii="Times New Roman;serif" w:hAnsi="Times New Roman;serif"/>
          <w:b w:val="false"/>
          <w:color w:val="000000"/>
          <w:sz w:val="24"/>
          <w:u w:val="single"/>
        </w:rPr>
        <w:t>Limitations</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10000"/>
          <w:sz w:val="24"/>
        </w:rPr>
        <w:t>(a)</w:t>
      </w:r>
      <w:r>
        <w:rPr>
          <w:rFonts w:ascii="Times New Roman;serif" w:hAnsi="Times New Roman;serif"/>
          <w:b w:val="false"/>
          <w:color w:val="000000"/>
          <w:sz w:val="24"/>
          <w:u w:val="single"/>
        </w:rPr>
        <w:t>If Performance Targets are not Achieved</w:t>
      </w:r>
      <w:r>
        <w:rPr>
          <w:rFonts w:ascii="Times New Roman;serif" w:hAnsi="Times New Roman;serif"/>
          <w:b w:val="false"/>
          <w:color w:val="000000"/>
          <w:sz w:val="24"/>
        </w:rPr>
        <w:t xml:space="preserve">. If Performance Targets (or, at minimum, the threshold levels of such Performance Targets) are not achieved during the Performance Period, no Bonus Payments shall be made under the Plan. The Committee retains the discretion to make bonus payments outside of the Plan. </w:t>
      </w:r>
    </w:p>
    <w:p>
      <w:pPr>
        <w:pStyle w:val="TextBody"/>
        <w:bidi w:val="0"/>
        <w:spacing w:lineRule="auto" w:line="240" w:before="0" w:after="240"/>
        <w:ind w:left="0" w:right="0" w:firstLine="720"/>
        <w:jc w:val="left"/>
        <w:rPr/>
      </w:pPr>
      <w:r>
        <w:rPr>
          <w:rFonts w:ascii="Times New Roman;serif" w:hAnsi="Times New Roman;serif"/>
          <w:b w:val="false"/>
          <w:color w:val="010000"/>
          <w:sz w:val="24"/>
        </w:rPr>
        <w:t>(b)</w:t>
      </w:r>
      <w:r>
        <w:rPr>
          <w:rFonts w:ascii="Times New Roman;serif" w:hAnsi="Times New Roman;serif"/>
          <w:b w:val="false"/>
          <w:color w:val="000000"/>
          <w:sz w:val="24"/>
          <w:u w:val="single"/>
        </w:rPr>
        <w:t>Pro-ration or Elimination of Bonus Payment</w:t>
      </w:r>
      <w:r>
        <w:rPr>
          <w:rFonts w:ascii="Times New Roman;serif" w:hAnsi="Times New Roman;serif"/>
          <w:b w:val="false"/>
          <w:color w:val="000000"/>
          <w:sz w:val="24"/>
        </w:rPr>
        <w:t xml:space="preserve">. Participation in the Plan ceases upon a Termination Event. Upon a Termination Event due to Retirement, death or Disability during the Performance Period, a Participant will be eligible to receive a pro-rated Bonus Payment to be determined in the discretion of the Committee. Upon a Termination Event for any other reason (other than Cause) during the Performance Period, a Participant will be ineligible for a Bonus Payment unless the Committee determines otherwise. Any Bonus Payments made pursuant to this </w:t>
      </w:r>
      <w:r>
        <w:rPr>
          <w:rFonts w:ascii="Times New Roman;serif" w:hAnsi="Times New Roman;serif"/>
          <w:b w:val="false"/>
          <w:color w:val="000000"/>
          <w:sz w:val="24"/>
          <w:u w:val="single"/>
        </w:rPr>
        <w:t>Section 3.3(b)</w:t>
      </w:r>
      <w:r>
        <w:rPr>
          <w:color w:val="000000"/>
        </w:rPr>
        <w:t xml:space="preserve"> </w:t>
      </w:r>
      <w:r>
        <w:rPr>
          <w:rFonts w:ascii="Times New Roman;serif" w:hAnsi="Times New Roman;serif"/>
          <w:b w:val="false"/>
          <w:color w:val="000000"/>
          <w:sz w:val="24"/>
        </w:rPr>
        <w:t>shall be based on actual achievement of the Performance Target(s) as determined by the Committee at the end of the applicable Performance Period, and prorated based on the number of days in the Performance Period the Participant was employed by the Company or an Affiliate. Notwithstanding anything to the contrary in this Plan, a Participant who is terminated for Cause will not be eligible to receive any Bonus Payment, regardless of whether such termination occurs during or after the Performance Period. Any pro-rated Bonus Payment will be paid at the same time as such Bonus Payment would have been made had the Participant remained employed for the entire Performance Period.</w:t>
      </w:r>
    </w:p>
    <w:p>
      <w:pPr>
        <w:pStyle w:val="TextBody"/>
        <w:bidi w:val="0"/>
        <w:spacing w:lineRule="auto" w:line="240" w:before="0" w:after="240"/>
        <w:ind w:left="0" w:right="0" w:firstLine="720"/>
        <w:jc w:val="left"/>
        <w:rPr/>
      </w:pPr>
      <w:r>
        <w:rPr>
          <w:rFonts w:ascii="Times New Roman;serif" w:hAnsi="Times New Roman;serif"/>
          <w:b w:val="false"/>
          <w:color w:val="010000"/>
          <w:sz w:val="24"/>
        </w:rPr>
        <w:t>(c)</w:t>
      </w:r>
      <w:r>
        <w:rPr>
          <w:rFonts w:ascii="Times New Roman;serif" w:hAnsi="Times New Roman;serif"/>
          <w:b w:val="false"/>
          <w:color w:val="000000"/>
          <w:sz w:val="24"/>
          <w:u w:val="single"/>
        </w:rPr>
        <w:t>Adjustments</w:t>
      </w:r>
      <w:r>
        <w:rPr>
          <w:rFonts w:ascii="Times New Roman;serif" w:hAnsi="Times New Roman;serif"/>
          <w:b w:val="false"/>
          <w:color w:val="000000"/>
          <w:sz w:val="24"/>
        </w:rPr>
        <w:t xml:space="preserve">. The Committee is authorized at any time prior to the payment of a Bonus Award, in its discretion and based on such considerations as it deems appropriate, to adjust the amount otherwise payable to the Participant in connection with such Bonus Award. </w:t>
      </w:r>
    </w:p>
    <w:p>
      <w:pPr>
        <w:pStyle w:val="TextBody"/>
        <w:bidi w:val="0"/>
        <w:spacing w:lineRule="auto" w:line="240" w:before="0" w:after="240"/>
        <w:ind w:left="0" w:right="0" w:firstLine="720"/>
        <w:jc w:val="left"/>
        <w:rPr/>
      </w:pPr>
      <w:r>
        <w:rPr>
          <w:rFonts w:ascii="Times New Roman;serif" w:hAnsi="Times New Roman;serif"/>
          <w:b w:val="false"/>
          <w:color w:val="010000"/>
          <w:sz w:val="24"/>
        </w:rPr>
        <w:t>(d)</w:t>
      </w:r>
      <w:r>
        <w:rPr>
          <w:rFonts w:ascii="Times New Roman;serif" w:hAnsi="Times New Roman;serif"/>
          <w:b w:val="false"/>
          <w:color w:val="000000"/>
          <w:sz w:val="24"/>
          <w:u w:val="single"/>
        </w:rPr>
        <w:t xml:space="preserve">Effect of a Change in Control. </w:t>
      </w:r>
      <w:r>
        <w:rPr>
          <w:rFonts w:ascii="Times New Roman;serif" w:hAnsi="Times New Roman;serif"/>
          <w:b w:val="false"/>
          <w:color w:val="000000"/>
          <w:sz w:val="24"/>
        </w:rPr>
        <w:t>Upon a Change in Control prior to the end of a Performance Period, the Committee shall have discretion to determine that Performance Targets have been met and to accelerate the timing of a Bonus Payment.</w:t>
      </w:r>
    </w:p>
    <w:p>
      <w:pPr>
        <w:pStyle w:val="TextBody"/>
        <w:bidi w:val="0"/>
        <w:spacing w:lineRule="auto" w:line="240" w:before="0" w:after="240"/>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Nontransferability</w:t>
      </w:r>
      <w:r>
        <w:rPr>
          <w:rFonts w:ascii="Times New Roman;serif" w:hAnsi="Times New Roman;serif"/>
          <w:b w:val="false"/>
          <w:color w:val="000000"/>
          <w:sz w:val="24"/>
        </w:rPr>
        <w:t>. Participants and beneficiaries shall not have the right to assign, encumber or otherwise anticipate the payments to be made under the Plan, and the benefits provided hereunder shall not be subject to seizure for payment of any debts or judgments against any Participant or any beneficiary.</w:t>
      </w:r>
    </w:p>
    <w:p>
      <w:pPr>
        <w:pStyle w:val="TextBody"/>
        <w:bidi w:val="0"/>
        <w:spacing w:lineRule="auto" w:line="240" w:before="0" w:after="240"/>
        <w:ind w:left="0" w:right="0" w:firstLine="72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Tax Withholding</w:t>
      </w:r>
      <w:r>
        <w:rPr>
          <w:rFonts w:ascii="Times New Roman;serif" w:hAnsi="Times New Roman;serif"/>
          <w:b w:val="false"/>
          <w:color w:val="000000"/>
          <w:sz w:val="24"/>
        </w:rPr>
        <w:t>. In order to comply with all applicable federal, provincial, state or local income tax laws or regulations, the Company or an Affiliate may take such action as it deems appropriate to ensure that all applicable federal, provincial, state or local payroll, withholding, income or other taxes, which are the sole and absolute responsibility of a Participant, are withheld or collected from such Participant.</w:t>
      </w:r>
    </w:p>
    <w:p>
      <w:pPr>
        <w:pStyle w:val="TextBody"/>
        <w:bidi w:val="0"/>
        <w:spacing w:lineRule="auto" w:line="240" w:before="0" w:after="240"/>
        <w:ind w:left="0" w:right="0" w:firstLine="72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Amendment</w:t>
      </w:r>
      <w:r>
        <w:rPr>
          <w:rFonts w:ascii="Times New Roman;serif" w:hAnsi="Times New Roman;serif"/>
          <w:b w:val="false"/>
          <w:color w:val="000000"/>
          <w:sz w:val="24"/>
        </w:rPr>
        <w:t xml:space="preserve">. The Committee may amend the Plan prospectively at any time and for any reason deemed sufficient by it without prior notice to any person affected by the Plan, except that no such amendment may materially impair the rights of any Participant with respect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to an outstanding Bonus Award without the Participant’s consent, unless such amendment is necessary to comply with applicable law or stock exchange rules.</w:t>
      </w:r>
    </w:p>
    <w:p>
      <w:pPr>
        <w:pStyle w:val="TextBody"/>
        <w:bidi w:val="0"/>
        <w:spacing w:lineRule="auto" w:line="240" w:before="0" w:after="240"/>
        <w:ind w:left="0" w:right="0" w:firstLine="72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Miscellaneous</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10000"/>
          <w:sz w:val="24"/>
        </w:rPr>
        <w:t>7.1</w:t>
      </w:r>
      <w:r>
        <w:rPr>
          <w:rFonts w:ascii="Times New Roman;serif" w:hAnsi="Times New Roman;serif"/>
          <w:b w:val="false"/>
          <w:color w:val="000000"/>
          <w:sz w:val="24"/>
          <w:u w:val="single"/>
        </w:rPr>
        <w:t>Effective Date</w:t>
      </w:r>
      <w:r>
        <w:rPr>
          <w:rFonts w:ascii="Times New Roman;serif" w:hAnsi="Times New Roman;serif"/>
          <w:b w:val="false"/>
          <w:color w:val="000000"/>
          <w:sz w:val="24"/>
        </w:rPr>
        <w:t>. January 14, 2026.</w:t>
      </w:r>
    </w:p>
    <w:p>
      <w:pPr>
        <w:pStyle w:val="TextBody"/>
        <w:bidi w:val="0"/>
        <w:spacing w:lineRule="auto" w:line="240" w:before="0" w:after="240"/>
        <w:ind w:left="0" w:right="0" w:firstLine="720"/>
        <w:jc w:val="left"/>
        <w:rPr/>
      </w:pPr>
      <w:r>
        <w:rPr>
          <w:rFonts w:ascii="Times New Roman;serif" w:hAnsi="Times New Roman;serif"/>
          <w:b w:val="false"/>
          <w:color w:val="010000"/>
          <w:sz w:val="24"/>
        </w:rPr>
        <w:t>7.2</w:t>
      </w:r>
      <w:r>
        <w:rPr>
          <w:rFonts w:ascii="Times New Roman;serif" w:hAnsi="Times New Roman;serif"/>
          <w:b w:val="false"/>
          <w:color w:val="000000"/>
          <w:sz w:val="24"/>
          <w:u w:val="single"/>
        </w:rPr>
        <w:t>Term of the Plan</w:t>
      </w:r>
      <w:r>
        <w:rPr>
          <w:rFonts w:ascii="Times New Roman;serif" w:hAnsi="Times New Roman;serif"/>
          <w:b w:val="false"/>
          <w:color w:val="000000"/>
          <w:sz w:val="24"/>
        </w:rPr>
        <w:t>. The Plan shall continue in existence until terminated by the Committee, which it may do at any time. No Bonus Award shall be granted after the termination of the Plan; provided, however, that a Bonus Payment with respect to a Performance Period which begins before such termination may be made thereafter.</w:t>
      </w:r>
    </w:p>
    <w:p>
      <w:pPr>
        <w:pStyle w:val="TextBody"/>
        <w:bidi w:val="0"/>
        <w:spacing w:lineRule="auto" w:line="240" w:before="0" w:after="240"/>
        <w:ind w:left="0" w:right="0" w:firstLine="720"/>
        <w:jc w:val="left"/>
        <w:rPr/>
      </w:pPr>
      <w:r>
        <w:rPr>
          <w:rFonts w:ascii="Times New Roman;serif" w:hAnsi="Times New Roman;serif"/>
          <w:b w:val="false"/>
          <w:color w:val="010000"/>
          <w:sz w:val="24"/>
        </w:rPr>
        <w:t>7.3</w:t>
      </w:r>
      <w:r>
        <w:rPr>
          <w:rFonts w:ascii="Times New Roman;serif" w:hAnsi="Times New Roman;serif"/>
          <w:b w:val="false"/>
          <w:color w:val="000000"/>
          <w:sz w:val="24"/>
          <w:u w:val="single"/>
        </w:rPr>
        <w:t>Headings</w:t>
      </w:r>
      <w:r>
        <w:rPr>
          <w:rFonts w:ascii="Times New Roman;serif" w:hAnsi="Times New Roman;serif"/>
          <w:b w:val="false"/>
          <w:color w:val="000000"/>
          <w:sz w:val="24"/>
        </w:rPr>
        <w:t>. Headings are given to the sections and subsections of the Plan solely as a convenience to facilitate reference. Such headings shall not be deemed in any way material or relevant to the construction or interpretation of the Plan or any provision thereof.</w:t>
      </w:r>
    </w:p>
    <w:p>
      <w:pPr>
        <w:pStyle w:val="TextBody"/>
        <w:bidi w:val="0"/>
        <w:spacing w:lineRule="auto" w:line="240" w:before="0" w:after="240"/>
        <w:ind w:left="0" w:right="0" w:firstLine="720"/>
        <w:jc w:val="left"/>
        <w:rPr/>
      </w:pPr>
      <w:r>
        <w:rPr>
          <w:rFonts w:ascii="Times New Roman;serif" w:hAnsi="Times New Roman;serif"/>
          <w:b w:val="false"/>
          <w:color w:val="010000"/>
          <w:sz w:val="24"/>
        </w:rPr>
        <w:t>7.4</w:t>
      </w:r>
      <w:r>
        <w:rPr>
          <w:rFonts w:ascii="Times New Roman;serif" w:hAnsi="Times New Roman;serif"/>
          <w:b w:val="false"/>
          <w:color w:val="000000"/>
          <w:sz w:val="24"/>
          <w:u w:val="single"/>
        </w:rPr>
        <w:t>Applicability to Successors</w:t>
      </w:r>
      <w:r>
        <w:rPr>
          <w:rFonts w:ascii="Times New Roman;serif" w:hAnsi="Times New Roman;serif"/>
          <w:b w:val="false"/>
          <w:color w:val="000000"/>
          <w:sz w:val="24"/>
        </w:rPr>
        <w:t>. The Plan shall be binding upon and inure to the benefit of the Company and each Participant, the successors and assigns of the Company, and the beneficiaries, personal representatives and heirs of each Participant. If the Company becomes a party to any merger, consolidation or reorganization, the Plan shall remain in full force and effect as an obligation of the Company or its successors in interest.</w:t>
      </w:r>
    </w:p>
    <w:p>
      <w:pPr>
        <w:pStyle w:val="TextBody"/>
        <w:bidi w:val="0"/>
        <w:spacing w:lineRule="auto" w:line="240" w:before="0" w:after="240"/>
        <w:ind w:left="0" w:right="0" w:firstLine="720"/>
        <w:jc w:val="left"/>
        <w:rPr/>
      </w:pPr>
      <w:r>
        <w:rPr>
          <w:rFonts w:ascii="Times New Roman;serif" w:hAnsi="Times New Roman;serif"/>
          <w:b w:val="false"/>
          <w:color w:val="010000"/>
          <w:sz w:val="24"/>
        </w:rPr>
        <w:t>7.5</w:t>
      </w:r>
      <w:r>
        <w:rPr>
          <w:rFonts w:ascii="Times New Roman;serif" w:hAnsi="Times New Roman;serif"/>
          <w:b w:val="false"/>
          <w:color w:val="000000"/>
          <w:sz w:val="24"/>
          <w:u w:val="single"/>
        </w:rPr>
        <w:t>Employment Rights and Other Benefit Programs</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10000"/>
          <w:sz w:val="24"/>
        </w:rPr>
        <w:t>(a)</w:t>
      </w:r>
      <w:r>
        <w:rPr>
          <w:rFonts w:ascii="Times New Roman;serif" w:hAnsi="Times New Roman;serif"/>
          <w:b w:val="false"/>
          <w:color w:val="000000"/>
          <w:sz w:val="24"/>
        </w:rPr>
        <w:t>Neither the Plan nor the grant of a Bonus Award shall give any Participant any right to be retained in the employment of the Company or any Affiliate. The Plan shall not replace any contract of employment, whether oral or written, between the Company or any Affiliate and any Participant, but shall be considered a supplement thereto.</w:t>
      </w:r>
    </w:p>
    <w:p>
      <w:pPr>
        <w:pStyle w:val="TextBody"/>
        <w:bidi w:val="0"/>
        <w:spacing w:lineRule="auto" w:line="240" w:before="0" w:after="240"/>
        <w:ind w:left="0" w:right="0" w:firstLine="720"/>
        <w:jc w:val="left"/>
        <w:rPr/>
      </w:pPr>
      <w:r>
        <w:rPr>
          <w:rFonts w:ascii="Times New Roman;serif" w:hAnsi="Times New Roman;serif"/>
          <w:b w:val="false"/>
          <w:color w:val="010000"/>
          <w:sz w:val="24"/>
        </w:rPr>
        <w:t>(b)</w:t>
      </w:r>
      <w:r>
        <w:rPr>
          <w:rFonts w:ascii="Times New Roman;serif" w:hAnsi="Times New Roman;serif"/>
          <w:b w:val="false"/>
          <w:color w:val="000000"/>
          <w:sz w:val="24"/>
        </w:rPr>
        <w:t>Neither the Plan nor the grant of a Bonus Award shall give any Participant a right to (i) participate in any other compensation or other employee benefit plan of the Company or an Affiliate, (ii) receive the same employee benefits as any other employee of the Company or an Affiliate, or (iii) receive any other Bonus Award under this Plan.</w:t>
      </w:r>
    </w:p>
    <w:p>
      <w:pPr>
        <w:pStyle w:val="TextBody"/>
        <w:bidi w:val="0"/>
        <w:spacing w:lineRule="auto" w:line="240" w:before="0" w:after="240"/>
        <w:ind w:left="0" w:right="0" w:firstLine="720"/>
        <w:jc w:val="left"/>
        <w:rPr/>
      </w:pPr>
      <w:r>
        <w:rPr>
          <w:rFonts w:ascii="Times New Roman;serif" w:hAnsi="Times New Roman;serif"/>
          <w:b w:val="false"/>
          <w:color w:val="010000"/>
          <w:sz w:val="24"/>
        </w:rPr>
        <w:t>(c)</w:t>
      </w:r>
      <w:r>
        <w:rPr>
          <w:rFonts w:ascii="Times New Roman;serif" w:hAnsi="Times New Roman;serif"/>
          <w:b w:val="false"/>
          <w:color w:val="000000"/>
          <w:sz w:val="24"/>
        </w:rPr>
        <w:t>Bonus Payments received by a Participant pursuant to the Plan shall not be deemed a part of the Participant’s regular, recurring compensation for purposes of the termination, indemnity or severance pay law of any country and shall not be included in, or have any effect on, the determination of benefits under any other employee benefit plan, contract or similar arrangement provided by the Company or any Affiliate unless expressly so provided by such plan, contract or arrangement, or unless the Committee expressly determines that a Bonus Payment or portion of a Bonus Payment should be included to accurately reflect competitive practices or to recognize that a Bonus Payment has been made in lieu of a portion of competitive cash compensation.</w:t>
      </w:r>
    </w:p>
    <w:p>
      <w:pPr>
        <w:pStyle w:val="TextBody"/>
        <w:bidi w:val="0"/>
        <w:spacing w:lineRule="auto" w:line="240" w:before="0" w:after="240"/>
        <w:ind w:left="0" w:right="0" w:firstLine="720"/>
        <w:jc w:val="left"/>
        <w:rPr/>
      </w:pPr>
      <w:r>
        <w:rPr>
          <w:rFonts w:ascii="Times New Roman;serif" w:hAnsi="Times New Roman;serif"/>
          <w:b w:val="false"/>
          <w:color w:val="010000"/>
          <w:sz w:val="24"/>
        </w:rPr>
        <w:t>7.6</w:t>
      </w:r>
      <w:r>
        <w:rPr>
          <w:rFonts w:ascii="Times New Roman;serif" w:hAnsi="Times New Roman;serif"/>
          <w:b w:val="false"/>
          <w:color w:val="000000"/>
          <w:sz w:val="24"/>
          <w:u w:val="single"/>
        </w:rPr>
        <w:t>No Trust or Fund Created</w:t>
      </w:r>
      <w:r>
        <w:rPr>
          <w:rFonts w:ascii="Times New Roman;serif" w:hAnsi="Times New Roman;serif"/>
          <w:b w:val="false"/>
          <w:color w:val="000000"/>
          <w:sz w:val="24"/>
        </w:rPr>
        <w:t xml:space="preserve">. The Plan shall not create or be construed to create a trust or separate fund of any kind or a fiduciary relationship between the Company or any Affiliate and a Participant or any other person. To the extent that any person acquires a right to receive payments from the Company or any Affiliate pursuant to the Plan, such right shall be an unfunded and unsecured promise to pay money in the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future, and no Participant shall have any rights that are greater than those of an unsecured general creditor of the Company or of any Affiliate.</w:t>
      </w:r>
    </w:p>
    <w:p>
      <w:pPr>
        <w:pStyle w:val="TextBody"/>
        <w:bidi w:val="0"/>
        <w:spacing w:lineRule="auto" w:line="240" w:before="0" w:after="240"/>
        <w:ind w:left="0" w:right="0" w:firstLine="720"/>
        <w:jc w:val="left"/>
        <w:rPr/>
      </w:pPr>
      <w:r>
        <w:rPr>
          <w:rFonts w:ascii="Times New Roman;serif" w:hAnsi="Times New Roman;serif"/>
          <w:b w:val="false"/>
          <w:color w:val="010000"/>
          <w:sz w:val="24"/>
        </w:rPr>
        <w:t>7.7</w:t>
      </w:r>
      <w:r>
        <w:rPr>
          <w:rFonts w:ascii="Times New Roman;serif" w:hAnsi="Times New Roman;serif"/>
          <w:b w:val="false"/>
          <w:color w:val="000000"/>
          <w:sz w:val="24"/>
          <w:u w:val="single"/>
        </w:rPr>
        <w:t>No Guarantee of Tax Consequences</w:t>
      </w:r>
      <w:r>
        <w:rPr>
          <w:rFonts w:ascii="Times New Roman;serif" w:hAnsi="Times New Roman;serif"/>
          <w:b w:val="false"/>
          <w:color w:val="000000"/>
          <w:sz w:val="24"/>
        </w:rPr>
        <w:t>. Neither the Committee nor the Company or any Affiliate provides or has provided any tax advice to any Participant or any other person or makes or has made any assurance, commitment or guarantee that any federal, provincial, state, local, or other tax treatment will (or will not) apply or be available to any Participant or other person and assumes no liability with respect to any tax or associated liabilities to which any Participant or other person may be subject.</w:t>
      </w:r>
    </w:p>
    <w:p>
      <w:pPr>
        <w:pStyle w:val="TextBody"/>
        <w:bidi w:val="0"/>
        <w:spacing w:lineRule="auto" w:line="240" w:before="0" w:after="240"/>
        <w:ind w:left="0" w:right="0" w:firstLine="720"/>
        <w:jc w:val="left"/>
        <w:rPr/>
      </w:pPr>
      <w:r>
        <w:rPr>
          <w:rFonts w:ascii="Times New Roman;serif" w:hAnsi="Times New Roman;serif"/>
          <w:b w:val="false"/>
          <w:color w:val="010000"/>
          <w:sz w:val="24"/>
        </w:rPr>
        <w:t>7.8</w:t>
      </w:r>
      <w:r>
        <w:rPr>
          <w:rFonts w:ascii="Times New Roman;serif" w:hAnsi="Times New Roman;serif"/>
          <w:b w:val="false"/>
          <w:color w:val="000000"/>
          <w:sz w:val="24"/>
          <w:u w:val="single"/>
        </w:rPr>
        <w:t>Code Section 409A</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left"/>
        <w:rPr/>
      </w:pPr>
      <w:r>
        <w:rPr>
          <w:rFonts w:ascii="Times New Roman;serif" w:hAnsi="Times New Roman;serif"/>
          <w:b w:val="false"/>
          <w:color w:val="010000"/>
          <w:sz w:val="24"/>
        </w:rPr>
        <w:t>(a)</w:t>
      </w:r>
      <w:r>
        <w:rPr>
          <w:rFonts w:ascii="Times New Roman;serif" w:hAnsi="Times New Roman;serif"/>
          <w:b w:val="false"/>
          <w:color w:val="000000"/>
          <w:sz w:val="24"/>
        </w:rPr>
        <w:t xml:space="preserve">The Plan is intended to be exempt from Section 409A as a short-term deferral, and shall be administered and interpreted consistent with such intent. </w:t>
      </w:r>
    </w:p>
    <w:p>
      <w:pPr>
        <w:pStyle w:val="TextBody"/>
        <w:bidi w:val="0"/>
        <w:spacing w:lineRule="auto" w:line="240" w:before="0" w:after="240"/>
        <w:ind w:left="0" w:right="0" w:firstLine="720"/>
        <w:jc w:val="left"/>
        <w:rPr/>
      </w:pPr>
      <w:r>
        <w:rPr>
          <w:rFonts w:ascii="Times New Roman;serif" w:hAnsi="Times New Roman;serif"/>
          <w:b w:val="false"/>
          <w:color w:val="010000"/>
          <w:sz w:val="24"/>
        </w:rPr>
        <w:t>(b)</w:t>
      </w:r>
      <w:r>
        <w:rPr>
          <w:rFonts w:ascii="Times New Roman;serif" w:hAnsi="Times New Roman;serif"/>
          <w:b w:val="false"/>
          <w:color w:val="000000"/>
          <w:sz w:val="24"/>
        </w:rPr>
        <w:t>To the extent the Plan, Bonus Award or Bonus Payment made hereunder is deemed to be subject to Section 409A, a Bonus Payment that is payable on account of a termination of employment will be deemed to refer to the Participant’s “separation from service” within the meaning of Section 409A. If at the time of the Participant’s separation from service, the Participant is a “specified employee” as defined in Section 409A, any Bonus Payment will be made or provided no earlier than the first day of the seventh month following such Participant’s separation from service (or upon the Participant’s death, if earlier). In no event will the Company or Committee be responsible for any tax, penalty, interest or liability that arises as a result of a violation of Section 409A.</w:t>
      </w:r>
    </w:p>
    <w:p>
      <w:pPr>
        <w:pStyle w:val="TextBody"/>
        <w:bidi w:val="0"/>
        <w:spacing w:lineRule="auto" w:line="240" w:before="0" w:after="240"/>
        <w:ind w:left="0" w:right="0" w:firstLine="720"/>
        <w:jc w:val="left"/>
        <w:rPr/>
      </w:pPr>
      <w:r>
        <w:rPr>
          <w:rFonts w:ascii="Times New Roman;serif" w:hAnsi="Times New Roman;serif"/>
          <w:b w:val="false"/>
          <w:color w:val="010000"/>
          <w:sz w:val="24"/>
        </w:rPr>
        <w:t>7.9</w:t>
      </w:r>
      <w:r>
        <w:rPr>
          <w:rFonts w:ascii="Times New Roman;serif" w:hAnsi="Times New Roman;serif"/>
          <w:b w:val="false"/>
          <w:color w:val="000000"/>
          <w:sz w:val="24"/>
          <w:u w:val="single"/>
        </w:rPr>
        <w:t>Governing Law</w:t>
      </w:r>
      <w:r>
        <w:rPr>
          <w:rFonts w:ascii="Times New Roman;serif" w:hAnsi="Times New Roman;serif"/>
          <w:b w:val="false"/>
          <w:color w:val="000000"/>
          <w:sz w:val="24"/>
        </w:rPr>
        <w:t>. To the extent that federal law does not otherwise control, the validity, construction and effect of the Plan or any bonus payable under the Plan shall be determined in accordance with the laws of the State of Minnesota, without giving effect to principles of conflicts of laws that would require the application of the laws of any other jurisdiction.</w:t>
      </w:r>
    </w:p>
    <w:p>
      <w:pPr>
        <w:pStyle w:val="TextBody"/>
        <w:bidi w:val="0"/>
        <w:spacing w:lineRule="auto" w:line="240" w:before="0" w:after="240"/>
        <w:ind w:left="0" w:right="0" w:firstLine="720"/>
        <w:jc w:val="left"/>
        <w:rPr/>
      </w:pPr>
      <w:r>
        <w:rPr>
          <w:rFonts w:ascii="Times New Roman;serif" w:hAnsi="Times New Roman;serif"/>
          <w:b w:val="false"/>
          <w:color w:val="010000"/>
          <w:sz w:val="24"/>
        </w:rPr>
        <w:t>7.10</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provision of the Plan is or becomes or is deemed to be invalid, illegal or unenforceable in any jurisdiction such provision shall be construed or deemed amended to conform to applicable laws, or if it cannot be so construed or deemed amended without, in the determination of the Committee, materially altering the purpose or intent of the Plan, such provision shall be stricken as to such jurisdiction, and the remainder of the Plan shall remain in full force and effect.</w:t>
      </w:r>
    </w:p>
    <w:p>
      <w:pPr>
        <w:pStyle w:val="TextBody"/>
        <w:bidi w:val="0"/>
        <w:spacing w:lineRule="auto" w:line="240" w:before="0" w:after="240"/>
        <w:ind w:left="0" w:right="0" w:firstLine="720"/>
        <w:jc w:val="left"/>
        <w:rPr/>
      </w:pPr>
      <w:r>
        <w:rPr>
          <w:rFonts w:ascii="Times New Roman;serif" w:hAnsi="Times New Roman;serif"/>
          <w:b w:val="false"/>
          <w:color w:val="010000"/>
          <w:sz w:val="24"/>
        </w:rPr>
        <w:t>7.11</w:t>
      </w:r>
      <w:r>
        <w:rPr>
          <w:rFonts w:ascii="Times New Roman;serif" w:hAnsi="Times New Roman;serif"/>
          <w:b w:val="false"/>
          <w:color w:val="000000"/>
          <w:sz w:val="24"/>
          <w:u w:val="single"/>
        </w:rPr>
        <w:t>Compensation Recovery Policy</w:t>
      </w:r>
      <w:r>
        <w:rPr>
          <w:rFonts w:ascii="Times New Roman;serif" w:hAnsi="Times New Roman;serif"/>
          <w:b w:val="false"/>
          <w:color w:val="000000"/>
          <w:sz w:val="24"/>
        </w:rPr>
        <w:t>. Bonus Awards and any compensation associated therewith, including any Bonus Payment, may be made subject to forfeiture, recovery by the Company or other action pursuant to the Recoupment Policy or any other compensation recovery policy adopted by the Board of Directors or Committee at any time, including in response to the requirements of Section 10D of the Securities Exchange Act of 1934, as amended, and any implementing rules and regulations thereunder, or as otherwise required by law. The terms of any Bonus Award may be unilaterally amended by the Committee to comply with the Recoupment Policy or any other such compensation recovery policy.</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3510</Words>
  <Characters>18977</Characters>
  <CharactersWithSpaces>22423</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